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B821" w14:textId="0DA451DF" w:rsidR="00EC627A" w:rsidRPr="00CB404E" w:rsidRDefault="00440D46" w:rsidP="005A5B79">
      <w:pPr>
        <w:pStyle w:val="H1"/>
        <w:ind w:right="0"/>
      </w:pPr>
      <w:r>
        <w:t>Overview</w:t>
      </w:r>
      <w:r w:rsidR="00EC627A" w:rsidRPr="00CB404E">
        <w:t xml:space="preserve"> </w:t>
      </w:r>
    </w:p>
    <w:p w14:paraId="499C6F4E" w14:textId="69F834FF" w:rsidR="00E075EF" w:rsidRPr="00CE13E2" w:rsidRDefault="00E075EF" w:rsidP="00B43EC6">
      <w:pPr>
        <w:pStyle w:val="Body"/>
      </w:pPr>
      <w:r w:rsidRPr="00CE13E2">
        <w:rPr>
          <w:rStyle w:val="normaltextrun"/>
        </w:rPr>
        <w:t>Local partners transition through four unique phases in their journey to successfully launch a BTE program in the local community:</w:t>
      </w:r>
      <w:r w:rsidRPr="00CE13E2">
        <w:rPr>
          <w:rStyle w:val="eop"/>
        </w:rPr>
        <w:t> </w:t>
      </w:r>
    </w:p>
    <w:p w14:paraId="3464E052" w14:textId="77777777" w:rsidR="00E075EF" w:rsidRDefault="00E075EF" w:rsidP="00B43EC6">
      <w:pPr>
        <w:pStyle w:val="Body"/>
      </w:pPr>
    </w:p>
    <w:p w14:paraId="68018C35" w14:textId="0223571E" w:rsidR="00E075EF" w:rsidRDefault="00952F6D" w:rsidP="00FB281C">
      <w:pPr>
        <w:pStyle w:val="Body"/>
        <w:jc w:val="center"/>
      </w:pPr>
      <w:r>
        <w:rPr>
          <w:noProof/>
        </w:rPr>
        <w:drawing>
          <wp:inline distT="0" distB="0" distL="0" distR="0" wp14:anchorId="20D1BB3E" wp14:editId="43713F66">
            <wp:extent cx="4548249" cy="2034277"/>
            <wp:effectExtent l="0" t="0" r="508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274" cy="203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5AECB" w14:textId="77777777" w:rsidR="00E075EF" w:rsidRDefault="00E075EF" w:rsidP="00B43EC6">
      <w:pPr>
        <w:pStyle w:val="Body"/>
      </w:pPr>
    </w:p>
    <w:p w14:paraId="1A44016C" w14:textId="77777777" w:rsidR="00CE13E2" w:rsidRPr="00CE13E2" w:rsidRDefault="00CE13E2" w:rsidP="00B43EC6">
      <w:pPr>
        <w:pStyle w:val="Body"/>
        <w:rPr>
          <w:rFonts w:eastAsia="Times New Roman"/>
          <w:sz w:val="18"/>
          <w:szCs w:val="18"/>
        </w:rPr>
      </w:pPr>
      <w:r w:rsidRPr="00CE13E2">
        <w:rPr>
          <w:rStyle w:val="normaltextrun"/>
        </w:rPr>
        <w:t>FHI 360 – Johnson &amp; Johnson’s BTE global management partner – provides technical assistance to all BTE sites throughout this process. The phases involve:</w:t>
      </w:r>
      <w:r w:rsidRPr="00CE13E2">
        <w:rPr>
          <w:rStyle w:val="eop"/>
        </w:rPr>
        <w:t> </w:t>
      </w:r>
    </w:p>
    <w:p w14:paraId="3DF741A9" w14:textId="77777777" w:rsidR="00CE13E2" w:rsidRDefault="00CE13E2" w:rsidP="00B43EC6">
      <w:pPr>
        <w:pStyle w:val="Body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1D33969" w14:textId="690D2A6D" w:rsidR="00E075EF" w:rsidRDefault="00B43EC6" w:rsidP="00B43EC6">
      <w:pPr>
        <w:pStyle w:val="Body"/>
        <w:numPr>
          <w:ilvl w:val="0"/>
          <w:numId w:val="14"/>
        </w:numPr>
      </w:pPr>
      <w:r w:rsidRPr="00750B82">
        <w:rPr>
          <w:b/>
          <w:bCs/>
        </w:rPr>
        <w:t>Cultivation (3-12 months):</w:t>
      </w:r>
      <w:r>
        <w:t xml:space="preserve"> Learning about the BTE program and gaining commitment from the local operating company’s executive leadership to initiate BTE program.</w:t>
      </w:r>
    </w:p>
    <w:p w14:paraId="5902E28F" w14:textId="79061C9E" w:rsidR="00B43EC6" w:rsidRPr="001F27E9" w:rsidRDefault="00FB4076" w:rsidP="00B43EC6">
      <w:pPr>
        <w:pStyle w:val="Body"/>
        <w:numPr>
          <w:ilvl w:val="0"/>
          <w:numId w:val="14"/>
        </w:numPr>
        <w:rPr>
          <w:rStyle w:val="normaltextrun"/>
        </w:rPr>
      </w:pPr>
      <w:r w:rsidRPr="00750B82">
        <w:rPr>
          <w:b/>
          <w:bCs/>
        </w:rPr>
        <w:t>Exploration (3-5 months)</w:t>
      </w:r>
      <w:r w:rsidR="00750B82" w:rsidRPr="00750B82">
        <w:rPr>
          <w:b/>
          <w:bCs/>
        </w:rPr>
        <w:t>:</w:t>
      </w:r>
      <w:r>
        <w:t xml:space="preserve"> Working with FHI360</w:t>
      </w:r>
      <w:r w:rsidR="001F27E9">
        <w:t xml:space="preserve"> t</w:t>
      </w:r>
      <w:r w:rsidR="001F27E9">
        <w:rPr>
          <w:rStyle w:val="normaltextrun"/>
          <w:rFonts w:cs="Calibri"/>
        </w:rPr>
        <w:t>o select and engage BTE partners, including a coordinating entity, a secondary school(s), and an institution(s) of higher education.</w:t>
      </w:r>
    </w:p>
    <w:p w14:paraId="17E269AF" w14:textId="66728595" w:rsidR="001F27E9" w:rsidRDefault="001F27E9" w:rsidP="00B43EC6">
      <w:pPr>
        <w:pStyle w:val="Body"/>
        <w:numPr>
          <w:ilvl w:val="0"/>
          <w:numId w:val="14"/>
        </w:numPr>
        <w:rPr>
          <w:rStyle w:val="eop"/>
          <w:rFonts w:asciiTheme="majorHAnsi" w:hAnsiTheme="majorHAnsi" w:cstheme="majorHAnsi"/>
        </w:rPr>
      </w:pPr>
      <w:r w:rsidRPr="00750B82">
        <w:rPr>
          <w:rStyle w:val="normaltextrun"/>
          <w:rFonts w:asciiTheme="majorHAnsi" w:hAnsiTheme="majorHAnsi" w:cstheme="majorHAnsi"/>
          <w:b/>
          <w:bCs/>
        </w:rPr>
        <w:t>Strategic Planning (6-12 months)</w:t>
      </w:r>
      <w:r w:rsidR="007A6473" w:rsidRPr="00750B82">
        <w:rPr>
          <w:rStyle w:val="normaltextrun"/>
          <w:rFonts w:asciiTheme="majorHAnsi" w:hAnsiTheme="majorHAnsi" w:cstheme="majorHAnsi"/>
          <w:b/>
          <w:bCs/>
        </w:rPr>
        <w:t>:</w:t>
      </w:r>
      <w:r w:rsidR="007A6473" w:rsidRPr="007A6473">
        <w:rPr>
          <w:rStyle w:val="normaltextrun"/>
          <w:rFonts w:asciiTheme="majorHAnsi" w:hAnsiTheme="majorHAnsi" w:cstheme="majorHAnsi"/>
        </w:rPr>
        <w:t xml:space="preserve"> </w:t>
      </w:r>
      <w:r w:rsidR="007A6473" w:rsidRPr="007A6473">
        <w:rPr>
          <w:rStyle w:val="normaltextrun"/>
          <w:rFonts w:asciiTheme="majorHAnsi" w:hAnsiTheme="majorHAnsi" w:cstheme="majorHAnsi"/>
        </w:rPr>
        <w:t>Designing and planning a unique, local BTE program that aligns with community initiatives and meets students’ needs.</w:t>
      </w:r>
      <w:r w:rsidR="007A6473" w:rsidRPr="007A6473">
        <w:rPr>
          <w:rStyle w:val="eop"/>
          <w:rFonts w:asciiTheme="majorHAnsi" w:hAnsiTheme="majorHAnsi" w:cstheme="majorHAnsi"/>
        </w:rPr>
        <w:t> </w:t>
      </w:r>
    </w:p>
    <w:p w14:paraId="375A7236" w14:textId="581B99CD" w:rsidR="00FB281C" w:rsidRPr="007A6473" w:rsidRDefault="00FB281C" w:rsidP="00B43EC6">
      <w:pPr>
        <w:pStyle w:val="Body"/>
        <w:numPr>
          <w:ilvl w:val="0"/>
          <w:numId w:val="14"/>
        </w:numPr>
        <w:rPr>
          <w:rFonts w:asciiTheme="majorHAnsi" w:hAnsiTheme="majorHAnsi" w:cstheme="majorHAnsi"/>
        </w:rPr>
      </w:pPr>
      <w:r w:rsidRPr="00750B82">
        <w:rPr>
          <w:rStyle w:val="eop"/>
          <w:rFonts w:asciiTheme="majorHAnsi" w:hAnsiTheme="majorHAnsi" w:cstheme="majorHAnsi"/>
          <w:b/>
          <w:bCs/>
        </w:rPr>
        <w:t>Implementation (3 years)</w:t>
      </w:r>
      <w:r w:rsidR="00750B82" w:rsidRPr="00750B82">
        <w:rPr>
          <w:rStyle w:val="eop"/>
          <w:rFonts w:asciiTheme="majorHAnsi" w:hAnsiTheme="majorHAnsi" w:cstheme="majorHAnsi"/>
          <w:b/>
          <w:bCs/>
        </w:rPr>
        <w:t>:</w:t>
      </w:r>
      <w:r w:rsidR="00750B82">
        <w:rPr>
          <w:rStyle w:val="eop"/>
          <w:rFonts w:asciiTheme="majorHAnsi" w:hAnsiTheme="majorHAnsi" w:cstheme="majorHAnsi"/>
        </w:rPr>
        <w:t xml:space="preserve"> </w:t>
      </w:r>
      <w:r w:rsidR="00750B82" w:rsidRPr="00750B82">
        <w:rPr>
          <w:rStyle w:val="normaltextrun"/>
        </w:rPr>
        <w:t xml:space="preserve">Offering a variety of program activities to 35-50 students in their last three-years of secondary school </w:t>
      </w:r>
      <w:proofErr w:type="gramStart"/>
      <w:r w:rsidR="00750B82" w:rsidRPr="00750B82">
        <w:rPr>
          <w:rStyle w:val="normaltextrun"/>
        </w:rPr>
        <w:t>in an effort to</w:t>
      </w:r>
      <w:proofErr w:type="gramEnd"/>
      <w:r w:rsidR="00750B82" w:rsidRPr="00750B82">
        <w:rPr>
          <w:rStyle w:val="normaltextrun"/>
        </w:rPr>
        <w:t xml:space="preserve"> increase interest in health careers and enrollment in higher education</w:t>
      </w:r>
      <w:r w:rsidR="00750B82">
        <w:rPr>
          <w:rStyle w:val="normaltextrun"/>
          <w:rFonts w:ascii="Calibri" w:hAnsi="Calibri" w:cs="Calibri"/>
        </w:rPr>
        <w:t>.</w:t>
      </w:r>
      <w:r w:rsidR="00750B82">
        <w:rPr>
          <w:rStyle w:val="eop"/>
          <w:rFonts w:ascii="Calibri" w:hAnsi="Calibri" w:cs="Calibri"/>
        </w:rPr>
        <w:t> </w:t>
      </w:r>
    </w:p>
    <w:p w14:paraId="69579A73" w14:textId="7355E8B3" w:rsidR="00E075EF" w:rsidRDefault="00EE2849" w:rsidP="00B43EC6">
      <w:pPr>
        <w:pStyle w:val="Body"/>
      </w:pPr>
      <w:r>
        <w:t>The proposed timeline is only a suggestion; it can move quicker/slower, based on the needs of the local operating company.</w:t>
      </w:r>
    </w:p>
    <w:p w14:paraId="40A448C8" w14:textId="77777777" w:rsidR="006E4B7F" w:rsidRDefault="006E4B7F" w:rsidP="006E4B7F">
      <w:pPr>
        <w:pStyle w:val="H2"/>
      </w:pPr>
    </w:p>
    <w:p w14:paraId="65B6C2FC" w14:textId="459EECB4" w:rsidR="006E4B7F" w:rsidRDefault="006E4B7F" w:rsidP="006E4B7F">
      <w:pPr>
        <w:pStyle w:val="H2"/>
      </w:pPr>
      <w:r>
        <w:t>C</w:t>
      </w:r>
      <w:r w:rsidR="006836D3">
        <w:t>ULTIVATION</w:t>
      </w:r>
    </w:p>
    <w:p w14:paraId="75E3FCB2" w14:textId="604E2BDF" w:rsidR="008211FF" w:rsidRPr="006A6267" w:rsidRDefault="006C0889" w:rsidP="006836D3">
      <w:pPr>
        <w:pStyle w:val="Bullets"/>
        <w:rPr>
          <w:rStyle w:val="eop"/>
        </w:rPr>
      </w:pPr>
      <w:r w:rsidRPr="006C0889">
        <w:rPr>
          <w:rStyle w:val="normaltextrun"/>
          <w:rFonts w:cs="Calibri Light"/>
          <w:color w:val="000000"/>
          <w:shd w:val="clear" w:color="auto" w:fill="FFFFFF"/>
        </w:rPr>
        <w:t xml:space="preserve">Phase Initiated:  Johnson &amp; Johnson Corporate (Michael </w:t>
      </w:r>
      <w:proofErr w:type="spellStart"/>
      <w:r w:rsidRPr="006C0889">
        <w:rPr>
          <w:rStyle w:val="normaltextrun"/>
          <w:rFonts w:cs="Calibri Light"/>
          <w:color w:val="000000"/>
          <w:shd w:val="clear" w:color="auto" w:fill="FFFFFF"/>
        </w:rPr>
        <w:t>Bzdak</w:t>
      </w:r>
      <w:proofErr w:type="spellEnd"/>
      <w:r w:rsidRPr="006C0889">
        <w:rPr>
          <w:rStyle w:val="normaltextrun"/>
          <w:rFonts w:cs="Calibri Light"/>
          <w:color w:val="000000"/>
          <w:shd w:val="clear" w:color="auto" w:fill="FFFFFF"/>
        </w:rPr>
        <w:t>) is notified by the local operating company of interest in BTE.</w:t>
      </w:r>
      <w:r w:rsidRPr="006C0889">
        <w:rPr>
          <w:rStyle w:val="eop"/>
          <w:rFonts w:cs="Calibri Light"/>
          <w:color w:val="000000"/>
          <w:shd w:val="clear" w:color="auto" w:fill="FFFFFF"/>
        </w:rPr>
        <w:t> </w:t>
      </w:r>
    </w:p>
    <w:p w14:paraId="4154AC96" w14:textId="2BC00BEC" w:rsidR="008211FF" w:rsidRDefault="006836D3" w:rsidP="006836D3">
      <w:pPr>
        <w:pStyle w:val="Bullets"/>
      </w:pPr>
      <w:r w:rsidRPr="006836D3">
        <w:t>Phase Completed:  Submission of a Letter of Commitment signed by local operating company’s General Manager or Executive Sponsor.   </w:t>
      </w:r>
    </w:p>
    <w:p w14:paraId="27E63F89" w14:textId="52043456" w:rsidR="006836D3" w:rsidRDefault="006836D3" w:rsidP="006836D3">
      <w:pPr>
        <w:pStyle w:val="H2"/>
      </w:pPr>
      <w:bookmarkStart w:id="0" w:name="_Hlk127441551"/>
      <w:r>
        <w:t>GAIN AWARENESS</w:t>
      </w:r>
    </w:p>
    <w:p w14:paraId="47202583" w14:textId="4DF1DC5B" w:rsidR="006836D3" w:rsidRPr="006836D3" w:rsidRDefault="006836D3" w:rsidP="006836D3">
      <w:pPr>
        <w:pStyle w:val="Bullets"/>
        <w:rPr>
          <w:rStyle w:val="normaltextrun"/>
        </w:rPr>
      </w:pPr>
      <w:r>
        <w:rPr>
          <w:rStyle w:val="normaltextrun"/>
          <w:rFonts w:cs="Calibri Light"/>
          <w:color w:val="000000"/>
          <w:shd w:val="clear" w:color="auto" w:fill="FFFFFF"/>
        </w:rPr>
        <w:t>Learn about the BTE Program</w:t>
      </w:r>
    </w:p>
    <w:bookmarkEnd w:id="0"/>
    <w:p w14:paraId="4A84DA56" w14:textId="591931AE" w:rsidR="006836D3" w:rsidRDefault="00C43D6A" w:rsidP="006836D3">
      <w:pPr>
        <w:pStyle w:val="Bullets"/>
        <w:numPr>
          <w:ilvl w:val="1"/>
          <w:numId w:val="16"/>
        </w:numPr>
        <w:rPr>
          <w:rStyle w:val="eop"/>
        </w:rPr>
      </w:pPr>
      <w:r>
        <w:rPr>
          <w:rStyle w:val="eop"/>
        </w:rPr>
        <w:t>Hold a conference call with Johnson &amp; Johnson Corporate and FHI360</w:t>
      </w:r>
    </w:p>
    <w:p w14:paraId="5E15C238" w14:textId="7516AE8C" w:rsidR="00C43D6A" w:rsidRDefault="00C43D6A" w:rsidP="006836D3">
      <w:pPr>
        <w:pStyle w:val="Bullets"/>
        <w:numPr>
          <w:ilvl w:val="1"/>
          <w:numId w:val="16"/>
        </w:numPr>
        <w:rPr>
          <w:rStyle w:val="eop"/>
        </w:rPr>
      </w:pPr>
      <w:r>
        <w:rPr>
          <w:rStyle w:val="eop"/>
        </w:rPr>
        <w:t>Review the BTE website</w:t>
      </w:r>
    </w:p>
    <w:p w14:paraId="4230F48C" w14:textId="61D05F7C" w:rsidR="0084082F" w:rsidRDefault="0084082F" w:rsidP="0084082F">
      <w:pPr>
        <w:pStyle w:val="Bullets"/>
        <w:numPr>
          <w:ilvl w:val="1"/>
          <w:numId w:val="16"/>
        </w:numPr>
      </w:pPr>
      <w:r>
        <w:rPr>
          <w:rStyle w:val="eop"/>
        </w:rPr>
        <w:t>Attend the annual Alliance Building &amp; Training Session – a professional development and network session for BTE teams from around the globe (optional)</w:t>
      </w:r>
    </w:p>
    <w:p w14:paraId="078711BD" w14:textId="27B38B9C" w:rsidR="0084082F" w:rsidRDefault="0084082F" w:rsidP="0084082F">
      <w:pPr>
        <w:pStyle w:val="H2"/>
      </w:pPr>
      <w:r>
        <w:t>COMMIT</w:t>
      </w:r>
    </w:p>
    <w:p w14:paraId="63C0396E" w14:textId="39B7B41F" w:rsidR="0084082F" w:rsidRPr="00D52C41" w:rsidRDefault="00D52C41" w:rsidP="0084082F">
      <w:pPr>
        <w:pStyle w:val="Bullets"/>
        <w:rPr>
          <w:rStyle w:val="normaltextrun"/>
        </w:rPr>
      </w:pPr>
      <w:r>
        <w:rPr>
          <w:rStyle w:val="normaltextrun"/>
          <w:rFonts w:cs="Calibri Light"/>
          <w:color w:val="000000"/>
          <w:shd w:val="clear" w:color="auto" w:fill="FFFFFF"/>
        </w:rPr>
        <w:t>Share the information about the BTE program, including impact and roles/responsibilities with the local operating company’s executive committee</w:t>
      </w:r>
    </w:p>
    <w:p w14:paraId="08D41A22" w14:textId="6AECDE40" w:rsidR="00D52C41" w:rsidRPr="006836D3" w:rsidRDefault="00D52C41" w:rsidP="0084082F">
      <w:pPr>
        <w:pStyle w:val="Bullets"/>
        <w:rPr>
          <w:rStyle w:val="normaltextrun"/>
        </w:rPr>
      </w:pPr>
      <w:r>
        <w:rPr>
          <w:rStyle w:val="normaltextrun"/>
          <w:rFonts w:cs="Calibri Light"/>
          <w:color w:val="000000"/>
          <w:shd w:val="clear" w:color="auto" w:fill="FFFFFF"/>
        </w:rPr>
        <w:t xml:space="preserve">Submit a Letter of Commitment to Johnson &amp; Johnson </w:t>
      </w:r>
      <w:r w:rsidR="009F738F">
        <w:rPr>
          <w:rStyle w:val="normaltextrun"/>
          <w:rFonts w:cs="Calibri Light"/>
          <w:color w:val="000000"/>
          <w:shd w:val="clear" w:color="auto" w:fill="FFFFFF"/>
        </w:rPr>
        <w:t xml:space="preserve">Corporate. This letter should be written by the Local </w:t>
      </w:r>
      <w:r w:rsidR="004B1C61">
        <w:rPr>
          <w:rStyle w:val="normaltextrun"/>
          <w:rFonts w:cs="Calibri Light"/>
          <w:color w:val="000000"/>
          <w:shd w:val="clear" w:color="auto" w:fill="FFFFFF"/>
        </w:rPr>
        <w:t>Operating</w:t>
      </w:r>
      <w:r w:rsidR="009F738F">
        <w:rPr>
          <w:rStyle w:val="normaltextrun"/>
          <w:rFonts w:cs="Calibri Light"/>
          <w:color w:val="000000"/>
          <w:shd w:val="clear" w:color="auto" w:fill="FFFFFF"/>
        </w:rPr>
        <w:t xml:space="preserve"> Company’s General Manager or Executive Sponsor and addressed to Michal </w:t>
      </w:r>
      <w:proofErr w:type="spellStart"/>
      <w:r w:rsidR="009F738F">
        <w:rPr>
          <w:rStyle w:val="normaltextrun"/>
          <w:rFonts w:cs="Calibri Light"/>
          <w:color w:val="000000"/>
          <w:shd w:val="clear" w:color="auto" w:fill="FFFFFF"/>
        </w:rPr>
        <w:t>Bzdak</w:t>
      </w:r>
      <w:proofErr w:type="spellEnd"/>
      <w:r w:rsidR="009F738F">
        <w:rPr>
          <w:rStyle w:val="normaltextrun"/>
          <w:rFonts w:cs="Calibri Light"/>
          <w:color w:val="000000"/>
          <w:shd w:val="clear" w:color="auto" w:fill="FFFFFF"/>
        </w:rPr>
        <w:t>, Executive Director, Corporate Contributions,</w:t>
      </w:r>
      <w:r w:rsidR="004B1C61">
        <w:rPr>
          <w:rStyle w:val="normaltextrun"/>
          <w:rFonts w:cs="Calibri Light"/>
          <w:color w:val="000000"/>
          <w:shd w:val="clear" w:color="auto" w:fill="FFFFFF"/>
        </w:rPr>
        <w:t xml:space="preserve"> Johnson &amp; Johnson</w:t>
      </w:r>
    </w:p>
    <w:p w14:paraId="172F58CB" w14:textId="2442425D" w:rsidR="004B1C61" w:rsidRDefault="004B1C61" w:rsidP="004B1C61">
      <w:pPr>
        <w:pStyle w:val="NoteEmphasis"/>
        <w:ind w:right="0"/>
      </w:pPr>
      <w:r>
        <w:t>Tip!</w:t>
      </w:r>
      <w:r>
        <w:rPr>
          <w:spacing w:val="53"/>
        </w:rPr>
        <w:t xml:space="preserve"> </w:t>
      </w:r>
      <w:r>
        <w:t>See the</w:t>
      </w:r>
      <w:r>
        <w:rPr>
          <w:spacing w:val="-2"/>
        </w:rPr>
        <w:t xml:space="preserve"> </w:t>
      </w:r>
      <w:r>
        <w:t>Letter of Commitment Template</w:t>
      </w:r>
    </w:p>
    <w:p w14:paraId="21E1A391" w14:textId="77777777" w:rsidR="00EE5F66" w:rsidRDefault="00EE5F66" w:rsidP="004B1C61">
      <w:pPr>
        <w:pStyle w:val="H2"/>
      </w:pPr>
    </w:p>
    <w:p w14:paraId="1BFEE307" w14:textId="5D80664E" w:rsidR="004B1C61" w:rsidRDefault="004B1C61" w:rsidP="004B1C61">
      <w:pPr>
        <w:pStyle w:val="H2"/>
      </w:pPr>
      <w:bookmarkStart w:id="1" w:name="_Hlk127442040"/>
      <w:r>
        <w:t>EXPLORATION</w:t>
      </w:r>
    </w:p>
    <w:bookmarkEnd w:id="1"/>
    <w:p w14:paraId="1C585631" w14:textId="770279D4" w:rsidR="004B1C61" w:rsidRPr="00CB3349" w:rsidRDefault="004B1C61" w:rsidP="004B1C61">
      <w:pPr>
        <w:pStyle w:val="Bullets"/>
        <w:rPr>
          <w:rStyle w:val="normaltextrun"/>
        </w:rPr>
      </w:pPr>
      <w:r w:rsidRPr="006C0889">
        <w:rPr>
          <w:rStyle w:val="normaltextrun"/>
          <w:rFonts w:cs="Calibri Light"/>
          <w:color w:val="000000"/>
          <w:shd w:val="clear" w:color="auto" w:fill="FFFFFF"/>
        </w:rPr>
        <w:t xml:space="preserve">Phase Initiated:  Johnson &amp; Johnson Corporate (Michael </w:t>
      </w:r>
      <w:proofErr w:type="spellStart"/>
      <w:r w:rsidRPr="006C0889">
        <w:rPr>
          <w:rStyle w:val="normaltextrun"/>
          <w:rFonts w:cs="Calibri Light"/>
          <w:color w:val="000000"/>
          <w:shd w:val="clear" w:color="auto" w:fill="FFFFFF"/>
        </w:rPr>
        <w:t>Bzdak</w:t>
      </w:r>
      <w:proofErr w:type="spellEnd"/>
      <w:r w:rsidR="00CB3349">
        <w:rPr>
          <w:rStyle w:val="normaltextrun"/>
          <w:rFonts w:cs="Calibri Light"/>
          <w:color w:val="000000"/>
          <w:shd w:val="clear" w:color="auto" w:fill="FFFFFF"/>
        </w:rPr>
        <w:t>) RECEIVES THE Letter of Commitment from the Executive Sponsor at the local operating company.</w:t>
      </w:r>
    </w:p>
    <w:p w14:paraId="28CEBFAF" w14:textId="39B70405" w:rsidR="00CB3349" w:rsidRPr="00AC78B1" w:rsidRDefault="00AC78B1" w:rsidP="00AC78B1">
      <w:pPr>
        <w:pStyle w:val="NoteEmphasis"/>
        <w:ind w:right="0"/>
        <w:rPr>
          <w:rStyle w:val="eop"/>
        </w:rPr>
      </w:pPr>
      <w:r>
        <w:t>Tip!</w:t>
      </w:r>
      <w:r>
        <w:rPr>
          <w:spacing w:val="53"/>
        </w:rPr>
        <w:t xml:space="preserve"> </w:t>
      </w:r>
      <w:r>
        <w:t>See the</w:t>
      </w:r>
      <w:r>
        <w:rPr>
          <w:spacing w:val="-2"/>
        </w:rPr>
        <w:t xml:space="preserve"> </w:t>
      </w:r>
      <w:r>
        <w:t xml:space="preserve">Letter of </w:t>
      </w:r>
      <w:r w:rsidR="00EE5F66">
        <w:t>Commitment</w:t>
      </w:r>
      <w:r>
        <w:t xml:space="preserve"> Template</w:t>
      </w:r>
    </w:p>
    <w:p w14:paraId="03EF56B1" w14:textId="75DDEAAA" w:rsidR="004B1C61" w:rsidRDefault="004B1C61" w:rsidP="004B1C61">
      <w:pPr>
        <w:pStyle w:val="Bullets"/>
      </w:pPr>
      <w:r w:rsidRPr="006836D3">
        <w:t xml:space="preserve">Phase Completed:  Submission of a Letter of </w:t>
      </w:r>
      <w:r w:rsidR="00AC78B1">
        <w:t>Intent by the selected</w:t>
      </w:r>
      <w:r w:rsidR="00AD75D2">
        <w:t xml:space="preserve"> coordinating </w:t>
      </w:r>
      <w:r w:rsidR="00EE5F66">
        <w:t>entity.</w:t>
      </w:r>
    </w:p>
    <w:p w14:paraId="5CE8E96B" w14:textId="2ACFB337" w:rsidR="00EE5F66" w:rsidRPr="00AC78B1" w:rsidRDefault="00EE5F66" w:rsidP="00EE5F66">
      <w:pPr>
        <w:pStyle w:val="NoteEmphasis"/>
        <w:ind w:right="0"/>
        <w:rPr>
          <w:rStyle w:val="eop"/>
        </w:rPr>
      </w:pPr>
      <w:r>
        <w:t>Tip!</w:t>
      </w:r>
      <w:r>
        <w:rPr>
          <w:spacing w:val="53"/>
        </w:rPr>
        <w:t xml:space="preserve"> </w:t>
      </w:r>
      <w:r>
        <w:t>See the</w:t>
      </w:r>
      <w:r>
        <w:rPr>
          <w:spacing w:val="-2"/>
        </w:rPr>
        <w:t xml:space="preserve"> </w:t>
      </w:r>
      <w:r>
        <w:t xml:space="preserve">Letter of </w:t>
      </w:r>
      <w:r>
        <w:t>Intent</w:t>
      </w:r>
      <w:r>
        <w:t xml:space="preserve"> Template</w:t>
      </w:r>
    </w:p>
    <w:p w14:paraId="2C1B07C9" w14:textId="77777777" w:rsidR="0084082F" w:rsidRDefault="0084082F" w:rsidP="0084082F">
      <w:pPr>
        <w:pStyle w:val="Bullets"/>
        <w:numPr>
          <w:ilvl w:val="0"/>
          <w:numId w:val="0"/>
        </w:numPr>
        <w:ind w:left="648" w:hanging="288"/>
      </w:pPr>
    </w:p>
    <w:p w14:paraId="18045BC7" w14:textId="77777777" w:rsidR="00EE5F66" w:rsidRDefault="00EE5F66" w:rsidP="00EE5F66">
      <w:pPr>
        <w:pStyle w:val="H2"/>
      </w:pPr>
    </w:p>
    <w:p w14:paraId="50A9AF1E" w14:textId="630EC274" w:rsidR="00EE5F66" w:rsidRDefault="00EE5F66" w:rsidP="00EE5F66">
      <w:pPr>
        <w:pStyle w:val="H2"/>
      </w:pPr>
      <w:r>
        <w:t>LEARN MORE</w:t>
      </w:r>
    </w:p>
    <w:p w14:paraId="3CDEFB4D" w14:textId="77777777" w:rsidR="00EE5F66" w:rsidRDefault="00EE5F66" w:rsidP="00EE5F66">
      <w:pPr>
        <w:pStyle w:val="Bullets"/>
        <w:numPr>
          <w:ilvl w:val="0"/>
          <w:numId w:val="0"/>
        </w:numPr>
      </w:pPr>
    </w:p>
    <w:p w14:paraId="374BFC04" w14:textId="59977E08" w:rsidR="006836D3" w:rsidRDefault="00145849" w:rsidP="006836D3">
      <w:pPr>
        <w:pStyle w:val="Bullets"/>
      </w:pPr>
      <w:r w:rsidRPr="00145849">
        <w:t>Organize an Exploratory Site Visit for Johnson &amp; Johnson Corporate and/or FHI 360.  The Exploratory Site Visit is generally one or two days and includes the following agenda items:</w:t>
      </w:r>
    </w:p>
    <w:p w14:paraId="0C49229F" w14:textId="77777777" w:rsidR="001670B3" w:rsidRPr="002F41FC" w:rsidRDefault="00AF0F1C" w:rsidP="00AF0F1C">
      <w:pPr>
        <w:pStyle w:val="Bullets"/>
        <w:numPr>
          <w:ilvl w:val="0"/>
          <w:numId w:val="17"/>
        </w:numPr>
        <w:rPr>
          <w:color w:val="8EAADB" w:themeColor="accent1" w:themeTint="99"/>
        </w:rPr>
      </w:pPr>
      <w:r>
        <w:rPr>
          <w:color w:val="auto"/>
        </w:rPr>
        <w:t>BTE Champi</w:t>
      </w:r>
      <w:r w:rsidR="001670B3">
        <w:rPr>
          <w:color w:val="auto"/>
        </w:rPr>
        <w:t>on Meeting (1 hour)</w:t>
      </w:r>
    </w:p>
    <w:p w14:paraId="0351CE96" w14:textId="34ABA442" w:rsidR="002F41FC" w:rsidRDefault="00DB27C4" w:rsidP="002F41FC">
      <w:pPr>
        <w:pStyle w:val="Bullet2"/>
      </w:pPr>
      <w:bookmarkStart w:id="2" w:name="_Hlk127442567"/>
      <w:r w:rsidRPr="00DB27C4">
        <w:t>A meeting for the BTE Champion (</w:t>
      </w:r>
      <w:r w:rsidR="00833C23" w:rsidRPr="00DB27C4">
        <w:t>i.e.,</w:t>
      </w:r>
      <w:r w:rsidRPr="00DB27C4">
        <w:t xml:space="preserve"> local operating company employee charged with launching the BTE program) to discuss next steps. </w:t>
      </w:r>
    </w:p>
    <w:bookmarkEnd w:id="2"/>
    <w:p w14:paraId="1347ADBB" w14:textId="019AABE1" w:rsidR="00145849" w:rsidRPr="003C7A20" w:rsidRDefault="00B82173" w:rsidP="00AF0F1C">
      <w:pPr>
        <w:pStyle w:val="Bullets"/>
        <w:numPr>
          <w:ilvl w:val="0"/>
          <w:numId w:val="17"/>
        </w:numPr>
        <w:rPr>
          <w:color w:val="8EAADB" w:themeColor="accent1" w:themeTint="99"/>
        </w:rPr>
      </w:pPr>
      <w:r>
        <w:rPr>
          <w:color w:val="auto"/>
        </w:rPr>
        <w:t>J</w:t>
      </w:r>
      <w:r w:rsidR="0051774B">
        <w:rPr>
          <w:color w:val="auto"/>
        </w:rPr>
        <w:t>&amp;J Executive/Leadership Team Meeting (1 hour)</w:t>
      </w:r>
    </w:p>
    <w:p w14:paraId="577D41C8" w14:textId="3858F1D1" w:rsidR="003C7A20" w:rsidRPr="003C7A20" w:rsidRDefault="00265938" w:rsidP="003C7A20">
      <w:pPr>
        <w:pStyle w:val="Bullet2"/>
      </w:pPr>
      <w:r w:rsidRPr="00265938">
        <w:t>J&amp;J Corporate and/or FHI 360 can meet with and answer questions from the local operating company’s leadership.  The session will entail an overview of the BTE program, including program goals/outcomes, roles and responsibilities of the local operating company, evaluation process, and strategic planning timeline.  </w:t>
      </w:r>
    </w:p>
    <w:p w14:paraId="129F01D3" w14:textId="73885BC1" w:rsidR="0051774B" w:rsidRPr="00265938" w:rsidRDefault="0051774B" w:rsidP="00AF0F1C">
      <w:pPr>
        <w:pStyle w:val="Bullets"/>
        <w:numPr>
          <w:ilvl w:val="0"/>
          <w:numId w:val="17"/>
        </w:numPr>
        <w:rPr>
          <w:color w:val="8EAADB" w:themeColor="accent1" w:themeTint="99"/>
        </w:rPr>
      </w:pPr>
      <w:r>
        <w:rPr>
          <w:color w:val="auto"/>
        </w:rPr>
        <w:t>Community Tour (1 hour per organization)</w:t>
      </w:r>
    </w:p>
    <w:p w14:paraId="25F6C03C" w14:textId="6020DA5A" w:rsidR="00265938" w:rsidRPr="00265938" w:rsidRDefault="00A5352D" w:rsidP="00265938">
      <w:pPr>
        <w:pStyle w:val="Bullet2"/>
      </w:pPr>
      <w:r w:rsidRPr="00A5352D">
        <w:t>A short tour of the local community and/or meetings with potential/confirmed BTE partner organizations (</w:t>
      </w:r>
      <w:r w:rsidR="00833C23" w:rsidRPr="00A5352D">
        <w:t>i.e.,</w:t>
      </w:r>
      <w:r w:rsidRPr="00A5352D">
        <w:t xml:space="preserve"> coordinating entities), institutions of higher education and/or secondary school(s)), providing a better understanding of the community, available resources, and needs of students.  </w:t>
      </w:r>
    </w:p>
    <w:p w14:paraId="2C9B960E" w14:textId="217B9D81" w:rsidR="0051774B" w:rsidRPr="00265938" w:rsidRDefault="0051774B" w:rsidP="00AF0F1C">
      <w:pPr>
        <w:pStyle w:val="Bullets"/>
        <w:numPr>
          <w:ilvl w:val="0"/>
          <w:numId w:val="17"/>
        </w:numPr>
        <w:rPr>
          <w:color w:val="8EAADB" w:themeColor="accent1" w:themeTint="99"/>
        </w:rPr>
      </w:pPr>
      <w:r>
        <w:rPr>
          <w:color w:val="auto"/>
        </w:rPr>
        <w:t>Interviews (1 hour)</w:t>
      </w:r>
    </w:p>
    <w:p w14:paraId="6FD14FF2" w14:textId="1964104D" w:rsidR="00265938" w:rsidRPr="00A5352D" w:rsidRDefault="00A5352D" w:rsidP="00A5352D">
      <w:pPr>
        <w:pStyle w:val="Bullet2"/>
      </w:pPr>
      <w:r w:rsidRPr="00A5352D">
        <w:t>Depending on the timing of the Exploratory Site Visit, consider setting up a meeting or interviewing potential coordinating entities (</w:t>
      </w:r>
      <w:r w:rsidR="00833C23" w:rsidRPr="00A5352D">
        <w:t>i.e.,</w:t>
      </w:r>
      <w:r w:rsidRPr="00A5352D">
        <w:t xml:space="preserve"> if potential coordinating entities have been identified and interest confirmed; see Partner Development, below, for more information).</w:t>
      </w:r>
    </w:p>
    <w:p w14:paraId="3898603E" w14:textId="01771628" w:rsidR="00A5352D" w:rsidRDefault="00A5352D" w:rsidP="00A5352D">
      <w:pPr>
        <w:pStyle w:val="H2"/>
      </w:pPr>
      <w:bookmarkStart w:id="3" w:name="_Hlk127444258"/>
      <w:r>
        <w:t>PARTNER DEVELOPMENT</w:t>
      </w:r>
    </w:p>
    <w:p w14:paraId="55F294AA" w14:textId="633E0EFB" w:rsidR="008211FF" w:rsidRDefault="0021117C" w:rsidP="005C18E8">
      <w:pPr>
        <w:pStyle w:val="Bullets"/>
      </w:pPr>
      <w:r w:rsidRPr="0021117C">
        <w:t>Identify Potential Partners. Look at current grantees, programs, or partners of the local operating company. At a minimum, BTE programs engage the following partners:</w:t>
      </w:r>
    </w:p>
    <w:bookmarkEnd w:id="3"/>
    <w:p w14:paraId="0E6DF132" w14:textId="1805A352" w:rsidR="00DC104A" w:rsidRDefault="005B1598" w:rsidP="00DC104A">
      <w:pPr>
        <w:pStyle w:val="Bullets"/>
        <w:numPr>
          <w:ilvl w:val="0"/>
          <w:numId w:val="18"/>
        </w:numPr>
      </w:pPr>
      <w:r w:rsidRPr="005B1598">
        <w:t>A Coordinating Entity</w:t>
      </w:r>
      <w:r w:rsidRPr="005B1598">
        <w:rPr>
          <w:b/>
          <w:bCs/>
        </w:rPr>
        <w:t xml:space="preserve">.  </w:t>
      </w:r>
      <w:r w:rsidRPr="005B1598">
        <w:t>A Community-based Organization (CBO), Non-Governmental Organization (NGO), or institute of higher education can serve as the “coordinating entity.” The Coordinating Entity manages the BTE program (</w:t>
      </w:r>
      <w:proofErr w:type="gramStart"/>
      <w:r w:rsidRPr="005B1598">
        <w:t>i.e.</w:t>
      </w:r>
      <w:proofErr w:type="gramEnd"/>
      <w:r w:rsidRPr="005B1598">
        <w:t xml:space="preserve"> day-to-day operations), taking the burden of planning and implementing from the local operating company. For US-based BTE sites, the Coordinating Entity must be a 501(c)3 organization to be an eligible BTE grant ($100,000 over four years) recipient.  </w:t>
      </w:r>
    </w:p>
    <w:p w14:paraId="2D040D1E" w14:textId="13FB4D20" w:rsidR="007E41B8" w:rsidRDefault="005B1598" w:rsidP="007E41B8">
      <w:pPr>
        <w:pStyle w:val="NoteEmphasis"/>
        <w:ind w:right="0"/>
      </w:pPr>
      <w:r>
        <w:t>Tip!</w:t>
      </w:r>
      <w:r>
        <w:rPr>
          <w:spacing w:val="53"/>
        </w:rPr>
        <w:t xml:space="preserve"> </w:t>
      </w:r>
      <w:r>
        <w:t>See the</w:t>
      </w:r>
      <w:r>
        <w:rPr>
          <w:spacing w:val="-2"/>
        </w:rPr>
        <w:t xml:space="preserve"> </w:t>
      </w:r>
      <w:r w:rsidR="007E41B8">
        <w:t xml:space="preserve">BTE overview PowerPoint presentation or the BTE Program Framework for a brief </w:t>
      </w:r>
      <w:r w:rsidR="007E41B8">
        <w:lastRenderedPageBreak/>
        <w:t xml:space="preserve">description of the roles and responsibilities </w:t>
      </w:r>
    </w:p>
    <w:p w14:paraId="59031234" w14:textId="36BF5878" w:rsidR="0021117C" w:rsidRDefault="00B744D7" w:rsidP="005C18E8">
      <w:pPr>
        <w:pStyle w:val="Bullets"/>
      </w:pPr>
      <w:r w:rsidRPr="00B744D7">
        <w:t>Conduct an Environmental Scan. FHI 360 will:</w:t>
      </w:r>
    </w:p>
    <w:p w14:paraId="6A3E4381" w14:textId="5924F3CD" w:rsidR="003F4E28" w:rsidRPr="003F4E28" w:rsidRDefault="003F4E28" w:rsidP="003F4E28">
      <w:pPr>
        <w:pStyle w:val="Bullets"/>
        <w:numPr>
          <w:ilvl w:val="0"/>
          <w:numId w:val="18"/>
        </w:numPr>
      </w:pPr>
      <w:r>
        <w:t>Secondary</w:t>
      </w:r>
      <w:r w:rsidRPr="003F4E28">
        <w:t xml:space="preserve"> School/s. The school(s) serves students who are within their last three-years of leaving/completing secondary school (typically, </w:t>
      </w:r>
      <w:r w:rsidRPr="003F4E28">
        <w:t>14–18-year-olds</w:t>
      </w:r>
      <w:r w:rsidRPr="003F4E28">
        <w:t>).  The school will serve a disadvantaged community and ideally be within a 30-minute drive time to the local operating company.   </w:t>
      </w:r>
    </w:p>
    <w:p w14:paraId="61721651" w14:textId="6426142C" w:rsidR="00187D24" w:rsidRDefault="006B292E" w:rsidP="006B292E">
      <w:pPr>
        <w:pStyle w:val="Bullets"/>
        <w:numPr>
          <w:ilvl w:val="0"/>
          <w:numId w:val="18"/>
        </w:numPr>
      </w:pPr>
      <w:r w:rsidRPr="006B292E">
        <w:t>An Institution of Higher Education.</w:t>
      </w:r>
      <w:r w:rsidRPr="006B292E">
        <w:rPr>
          <w:b/>
          <w:bCs/>
        </w:rPr>
        <w:t xml:space="preserve"> </w:t>
      </w:r>
      <w:r w:rsidRPr="006B292E">
        <w:t xml:space="preserve">A university, </w:t>
      </w:r>
      <w:proofErr w:type="gramStart"/>
      <w:r w:rsidRPr="006B292E">
        <w:t>college</w:t>
      </w:r>
      <w:proofErr w:type="gramEnd"/>
      <w:r w:rsidRPr="006B292E">
        <w:t xml:space="preserve"> or technical school with "health care and/or science" courses of study. </w:t>
      </w:r>
    </w:p>
    <w:p w14:paraId="05DFD552" w14:textId="5D2AF8E5" w:rsidR="0036013C" w:rsidRDefault="0036013C" w:rsidP="005C18E8">
      <w:pPr>
        <w:pStyle w:val="Bullets"/>
      </w:pPr>
      <w:r w:rsidRPr="0036013C">
        <w:t xml:space="preserve"> </w:t>
      </w:r>
      <w:r w:rsidR="006B292E" w:rsidRPr="006B292E">
        <w:t>Conduct an Environmental Scan. FHI 360 will</w:t>
      </w:r>
      <w:r w:rsidR="006B292E">
        <w:t>:</w:t>
      </w:r>
    </w:p>
    <w:p w14:paraId="0F5C3A98" w14:textId="20F0CE70" w:rsidR="006B292E" w:rsidRDefault="00B2155F" w:rsidP="006B292E">
      <w:pPr>
        <w:pStyle w:val="Bullet2"/>
      </w:pPr>
      <w:r w:rsidRPr="00B2155F">
        <w:t>Review and research the potential partners provided by the local operating company; if needed, FHI 360 will identify additional / new partners for the local operating company to choose and approve.  </w:t>
      </w:r>
    </w:p>
    <w:p w14:paraId="7292D77C" w14:textId="0771367D" w:rsidR="00B2155F" w:rsidRDefault="00B2155F" w:rsidP="006B292E">
      <w:pPr>
        <w:pStyle w:val="Bullet2"/>
      </w:pPr>
      <w:r w:rsidRPr="00B2155F">
        <w:t>Determine eligibility of potential coordinating entities to serve as fiscal agent / site coordinator; specifically, FHI 360 will look at: </w:t>
      </w:r>
    </w:p>
    <w:p w14:paraId="0AC83A45" w14:textId="77777777" w:rsidR="00121305" w:rsidRPr="00121305" w:rsidRDefault="00121305" w:rsidP="00121305">
      <w:pPr>
        <w:pStyle w:val="Bullet2"/>
        <w:numPr>
          <w:ilvl w:val="1"/>
          <w:numId w:val="12"/>
        </w:numPr>
        <w:rPr>
          <w:lang w:val="es-419"/>
        </w:rPr>
      </w:pPr>
      <w:r w:rsidRPr="00121305">
        <w:t>Organizational mission alignment with BTE</w:t>
      </w:r>
      <w:r w:rsidRPr="00121305">
        <w:rPr>
          <w:lang w:val="es-419"/>
        </w:rPr>
        <w:t> </w:t>
      </w:r>
    </w:p>
    <w:p w14:paraId="6CB0A16D" w14:textId="5B79D370" w:rsidR="00121305" w:rsidRPr="00121305" w:rsidRDefault="00121305" w:rsidP="00121305">
      <w:pPr>
        <w:pStyle w:val="Bullet2"/>
        <w:numPr>
          <w:ilvl w:val="1"/>
          <w:numId w:val="12"/>
        </w:numPr>
        <w:rPr>
          <w:lang w:val="es-419"/>
        </w:rPr>
      </w:pPr>
      <w:r w:rsidRPr="00121305">
        <w:t>Organizational capacity</w:t>
      </w:r>
      <w:r w:rsidRPr="00121305">
        <w:rPr>
          <w:lang w:val="es-419"/>
        </w:rPr>
        <w:t>  </w:t>
      </w:r>
    </w:p>
    <w:p w14:paraId="4F2DC5E9" w14:textId="77777777" w:rsidR="00121305" w:rsidRPr="00121305" w:rsidRDefault="00121305" w:rsidP="00121305">
      <w:pPr>
        <w:pStyle w:val="Bullet2"/>
        <w:numPr>
          <w:ilvl w:val="1"/>
          <w:numId w:val="12"/>
        </w:numPr>
        <w:rPr>
          <w:lang w:val="es-419"/>
        </w:rPr>
      </w:pPr>
      <w:r w:rsidRPr="00121305">
        <w:t>Organizational interest</w:t>
      </w:r>
      <w:r w:rsidRPr="00121305">
        <w:rPr>
          <w:lang w:val="es-419"/>
        </w:rPr>
        <w:t> </w:t>
      </w:r>
    </w:p>
    <w:p w14:paraId="2A0E6A77" w14:textId="77777777" w:rsidR="00121305" w:rsidRPr="00121305" w:rsidRDefault="00121305" w:rsidP="00121305">
      <w:pPr>
        <w:pStyle w:val="Bullet2"/>
        <w:numPr>
          <w:ilvl w:val="1"/>
          <w:numId w:val="12"/>
        </w:numPr>
        <w:rPr>
          <w:lang w:val="es-419"/>
        </w:rPr>
      </w:pPr>
      <w:r w:rsidRPr="00121305">
        <w:t>Fiscal responsibility</w:t>
      </w:r>
      <w:r w:rsidRPr="00121305">
        <w:rPr>
          <w:lang w:val="es-419"/>
        </w:rPr>
        <w:t> </w:t>
      </w:r>
    </w:p>
    <w:p w14:paraId="2D92CF92" w14:textId="792E5DC4" w:rsidR="00051FDF" w:rsidRPr="00051FDF" w:rsidRDefault="00E160BB" w:rsidP="00051FDF">
      <w:pPr>
        <w:pStyle w:val="Bullet2"/>
        <w:rPr>
          <w:lang w:val="es-419"/>
        </w:rPr>
      </w:pPr>
      <w:r w:rsidRPr="00E160BB">
        <w:t>Determine if identified secondary school(s) meet at least one of the following criteria: </w:t>
      </w:r>
    </w:p>
    <w:p w14:paraId="1C214D5B" w14:textId="3A17FEBE" w:rsidR="00B2155F" w:rsidRDefault="009E5024" w:rsidP="009E5024">
      <w:pPr>
        <w:pStyle w:val="Bullet2"/>
        <w:numPr>
          <w:ilvl w:val="1"/>
          <w:numId w:val="12"/>
        </w:numPr>
      </w:pPr>
      <w:r w:rsidRPr="009E5024">
        <w:t>Economically Disadvantaged Community. Examples include, but are not limited to: </w:t>
      </w:r>
    </w:p>
    <w:p w14:paraId="677A67F1" w14:textId="3B7523A1" w:rsidR="009E5024" w:rsidRDefault="00090C14" w:rsidP="009E5024">
      <w:pPr>
        <w:pStyle w:val="Bullet2"/>
        <w:numPr>
          <w:ilvl w:val="2"/>
          <w:numId w:val="12"/>
        </w:numPr>
      </w:pPr>
      <w:r>
        <w:t xml:space="preserve">Designated high poverty community </w:t>
      </w:r>
    </w:p>
    <w:p w14:paraId="3A0C655B" w14:textId="2E745903" w:rsidR="00090C14" w:rsidRDefault="00090C14" w:rsidP="009E5024">
      <w:pPr>
        <w:pStyle w:val="Bullet2"/>
        <w:numPr>
          <w:ilvl w:val="2"/>
          <w:numId w:val="12"/>
        </w:numPr>
      </w:pPr>
      <w:r>
        <w:t>Higher than average % of low-income families in community</w:t>
      </w:r>
    </w:p>
    <w:p w14:paraId="5272E5B6" w14:textId="44A83748" w:rsidR="009E5024" w:rsidRDefault="00307A3A" w:rsidP="00307A3A">
      <w:pPr>
        <w:pStyle w:val="Bullet2"/>
        <w:numPr>
          <w:ilvl w:val="1"/>
          <w:numId w:val="12"/>
        </w:numPr>
      </w:pPr>
      <w:r w:rsidRPr="00307A3A">
        <w:t>Educationally Disadvantaged Community, examples include, but not limited to: </w:t>
      </w:r>
    </w:p>
    <w:p w14:paraId="67A54A64" w14:textId="77777777" w:rsidR="00450C3B" w:rsidRPr="00450C3B" w:rsidRDefault="00450C3B" w:rsidP="00450C3B">
      <w:pPr>
        <w:pStyle w:val="Bullet2"/>
        <w:numPr>
          <w:ilvl w:val="2"/>
          <w:numId w:val="12"/>
        </w:numPr>
        <w:rPr>
          <w:lang w:val="es-419"/>
        </w:rPr>
      </w:pPr>
      <w:r w:rsidRPr="00450C3B">
        <w:t>Higher than average secondary school drop-out rate</w:t>
      </w:r>
      <w:r w:rsidRPr="00450C3B">
        <w:rPr>
          <w:lang w:val="es-419"/>
        </w:rPr>
        <w:t> </w:t>
      </w:r>
    </w:p>
    <w:p w14:paraId="4B23D9BC" w14:textId="77777777" w:rsidR="00450C3B" w:rsidRPr="00450C3B" w:rsidRDefault="00450C3B" w:rsidP="00450C3B">
      <w:pPr>
        <w:pStyle w:val="Bullet2"/>
        <w:numPr>
          <w:ilvl w:val="2"/>
          <w:numId w:val="12"/>
        </w:numPr>
        <w:rPr>
          <w:lang w:val="es-419"/>
        </w:rPr>
      </w:pPr>
      <w:r w:rsidRPr="00450C3B">
        <w:t>Lower than average secondary school graduation rate</w:t>
      </w:r>
      <w:r w:rsidRPr="00450C3B">
        <w:rPr>
          <w:lang w:val="es-419"/>
        </w:rPr>
        <w:t> </w:t>
      </w:r>
    </w:p>
    <w:p w14:paraId="3964E15B" w14:textId="77777777" w:rsidR="00450C3B" w:rsidRPr="00450C3B" w:rsidRDefault="00450C3B" w:rsidP="00450C3B">
      <w:pPr>
        <w:pStyle w:val="Bullet2"/>
        <w:numPr>
          <w:ilvl w:val="2"/>
          <w:numId w:val="12"/>
        </w:numPr>
        <w:rPr>
          <w:lang w:val="es-419"/>
        </w:rPr>
      </w:pPr>
      <w:r w:rsidRPr="00450C3B">
        <w:t>Lower than average % of students proceeding to higher education</w:t>
      </w:r>
      <w:r w:rsidRPr="00450C3B">
        <w:rPr>
          <w:lang w:val="es-419"/>
        </w:rPr>
        <w:t> </w:t>
      </w:r>
    </w:p>
    <w:p w14:paraId="298DA55B" w14:textId="08ED2F17" w:rsidR="00307A3A" w:rsidRPr="00450C3B" w:rsidRDefault="00450C3B" w:rsidP="00450C3B">
      <w:pPr>
        <w:pStyle w:val="Bullet2"/>
        <w:numPr>
          <w:ilvl w:val="2"/>
          <w:numId w:val="12"/>
        </w:numPr>
        <w:rPr>
          <w:lang w:val="es-419"/>
        </w:rPr>
      </w:pPr>
      <w:r w:rsidRPr="00450C3B">
        <w:t>Higher than average % of community without a higher education degree</w:t>
      </w:r>
      <w:r w:rsidRPr="00450C3B">
        <w:rPr>
          <w:lang w:val="es-419"/>
        </w:rPr>
        <w:t> </w:t>
      </w:r>
    </w:p>
    <w:p w14:paraId="64C32BEE" w14:textId="7442F829" w:rsidR="006B292E" w:rsidRPr="00905CB6" w:rsidRDefault="000B7FCE" w:rsidP="00905CB6">
      <w:pPr>
        <w:pStyle w:val="Bullet2"/>
        <w:numPr>
          <w:ilvl w:val="1"/>
          <w:numId w:val="12"/>
        </w:numPr>
      </w:pPr>
      <w:r>
        <w:t xml:space="preserve"> </w:t>
      </w:r>
      <w:r w:rsidR="00450C3B" w:rsidRPr="00450C3B">
        <w:t>Geographically Isolated / Rural Location </w:t>
      </w:r>
    </w:p>
    <w:p w14:paraId="3754F566" w14:textId="08654416" w:rsidR="000B7FCE" w:rsidRDefault="00905CB6" w:rsidP="005C18E8">
      <w:pPr>
        <w:pStyle w:val="Bullets"/>
      </w:pPr>
      <w:r w:rsidRPr="00905CB6">
        <w:t>Select the Coordinating Entity</w:t>
      </w:r>
      <w:r w:rsidRPr="00905CB6">
        <w:rPr>
          <w:u w:val="single"/>
        </w:rPr>
        <w:t>.</w:t>
      </w:r>
      <w:r w:rsidRPr="00905CB6">
        <w:t xml:space="preserve"> Using the findings of the environmental scan, initiate the selection process. The local operating company should:</w:t>
      </w:r>
    </w:p>
    <w:p w14:paraId="5787DD94" w14:textId="77777777" w:rsidR="00085B03" w:rsidRDefault="00E65A17" w:rsidP="00085B03">
      <w:pPr>
        <w:pStyle w:val="Bullet2"/>
      </w:pPr>
      <w:r w:rsidRPr="00E65A17">
        <w:t>Conduct interviews with one to three potential coordinating entities that will serve as the fiscal agent and site coordinator for the BTE program; if desired, FHI 360 can participate. </w:t>
      </w:r>
    </w:p>
    <w:p w14:paraId="09D2911C" w14:textId="77777777" w:rsidR="00085B03" w:rsidRPr="00085B03" w:rsidRDefault="00085B03" w:rsidP="00085B03">
      <w:pPr>
        <w:pStyle w:val="Bullet2"/>
        <w:rPr>
          <w:rStyle w:val="eop"/>
        </w:rPr>
      </w:pPr>
      <w:r w:rsidRPr="00085B03">
        <w:rPr>
          <w:rStyle w:val="normaltextrun"/>
          <w:rFonts w:ascii="Calibri" w:hAnsi="Calibri"/>
        </w:rPr>
        <w:t>Select the coordinating entity and notify FHI 360.</w:t>
      </w:r>
      <w:r w:rsidRPr="00085B03">
        <w:rPr>
          <w:rStyle w:val="eop"/>
          <w:rFonts w:ascii="Calibri" w:hAnsi="Calibri"/>
        </w:rPr>
        <w:t> </w:t>
      </w:r>
    </w:p>
    <w:p w14:paraId="240AB751" w14:textId="0E4608E6" w:rsidR="00E65A17" w:rsidRDefault="00085B03" w:rsidP="00085B03">
      <w:pPr>
        <w:pStyle w:val="Bullet2"/>
      </w:pPr>
      <w:r w:rsidRPr="00085B03">
        <w:rPr>
          <w:rStyle w:val="normaltextrun"/>
          <w:rFonts w:ascii="Calibri" w:hAnsi="Calibri"/>
        </w:rPr>
        <w:lastRenderedPageBreak/>
        <w:t>Notify all interviewed coordinating entities of final decision. (If the local operating company prefers, FHI 360 can assume this role.)</w:t>
      </w:r>
      <w:r w:rsidRPr="00085B03">
        <w:rPr>
          <w:rStyle w:val="eop"/>
          <w:rFonts w:ascii="Calibri" w:hAnsi="Calibri"/>
        </w:rPr>
        <w:t> </w:t>
      </w:r>
    </w:p>
    <w:p w14:paraId="7108AC26" w14:textId="56B5F08E" w:rsidR="0036013C" w:rsidRDefault="0024107A" w:rsidP="005C18E8">
      <w:pPr>
        <w:pStyle w:val="Bullets"/>
      </w:pPr>
      <w:r w:rsidRPr="0024107A">
        <w:t xml:space="preserve">Select the Secondary School(s). Using the findings of the environmental scan, the local operating company in partnership with FHI 360 and the coordinating entity select the secondary school(s). Typically, this </w:t>
      </w:r>
      <w:proofErr w:type="gramStart"/>
      <w:r w:rsidRPr="0024107A">
        <w:t>involv</w:t>
      </w:r>
      <w:r w:rsidR="00085B03">
        <w:t>e</w:t>
      </w:r>
      <w:proofErr w:type="gramEnd"/>
      <w:r w:rsidR="00085B03">
        <w:t>.</w:t>
      </w:r>
    </w:p>
    <w:p w14:paraId="03C14B76" w14:textId="311298D1" w:rsidR="00085B03" w:rsidRDefault="008907C6" w:rsidP="00085B03">
      <w:pPr>
        <w:pStyle w:val="Bullet2"/>
      </w:pPr>
      <w:r w:rsidRPr="008907C6">
        <w:t>Share information about the BTE program, including impact and roles/responsibilities with the leadership of potential secondary schools.  FHI 360 should participate via conference call and provide the overview. </w:t>
      </w:r>
    </w:p>
    <w:p w14:paraId="248CB664" w14:textId="39C6BFEA" w:rsidR="00FF3A8E" w:rsidRDefault="00FF3A8E" w:rsidP="00FF3A8E">
      <w:pPr>
        <w:pStyle w:val="NoteEmphasis"/>
        <w:ind w:right="0"/>
      </w:pPr>
      <w:r>
        <w:t>Tip!</w:t>
      </w:r>
      <w:r>
        <w:rPr>
          <w:spacing w:val="53"/>
        </w:rPr>
        <w:t xml:space="preserve"> </w:t>
      </w:r>
      <w:r>
        <w:t>See the</w:t>
      </w:r>
      <w:r>
        <w:rPr>
          <w:spacing w:val="-2"/>
        </w:rPr>
        <w:t xml:space="preserve"> </w:t>
      </w:r>
      <w:r>
        <w:t xml:space="preserve">BTE Overview </w:t>
      </w:r>
      <w:r w:rsidR="004960B6">
        <w:t>PowerPoint</w:t>
      </w:r>
      <w:r>
        <w:t xml:space="preserve"> </w:t>
      </w:r>
      <w:r w:rsidR="004960B6">
        <w:t>presentation or the BTE Program Framework.</w:t>
      </w:r>
    </w:p>
    <w:p w14:paraId="6C683B8F" w14:textId="0C9F4018" w:rsidR="008907C6" w:rsidRDefault="000B466A" w:rsidP="00085B03">
      <w:pPr>
        <w:pStyle w:val="Bullet2"/>
      </w:pPr>
      <w:r w:rsidRPr="000B466A">
        <w:t>Visit one or two preferred secondary schools.   </w:t>
      </w:r>
    </w:p>
    <w:p w14:paraId="17AF960C" w14:textId="53BA651D" w:rsidR="00281CF3" w:rsidRDefault="00281CF3" w:rsidP="00085B03">
      <w:pPr>
        <w:pStyle w:val="Bullet2"/>
      </w:pPr>
      <w:r w:rsidRPr="00281CF3">
        <w:t>Interview leadership of each preferred school to gauge interest in / commitment to a BTE program. Note: School leadership must agree to provide academic and other data for each BTE student and a comparison group. FHI 360 should be available by conference call. </w:t>
      </w:r>
    </w:p>
    <w:p w14:paraId="253C0B4B" w14:textId="3C8D2706" w:rsidR="00281CF3" w:rsidRDefault="00281CF3" w:rsidP="00085B03">
      <w:pPr>
        <w:pStyle w:val="Bullet2"/>
      </w:pPr>
      <w:r w:rsidRPr="00281CF3">
        <w:t>Select the secondary school(s) and invite representatives to the strategic planning meeting. </w:t>
      </w:r>
    </w:p>
    <w:p w14:paraId="6C4E41CB" w14:textId="661552D2" w:rsidR="00281CF3" w:rsidRDefault="00281CF3" w:rsidP="00281CF3">
      <w:pPr>
        <w:pStyle w:val="Bullet2"/>
      </w:pPr>
      <w:bookmarkStart w:id="4" w:name="_Hlk127443835"/>
      <w:r w:rsidRPr="00281CF3">
        <w:t>Notify all secondary schools of the final decision. (If preferred, FHI 360 can notify.) </w:t>
      </w:r>
      <w:bookmarkEnd w:id="4"/>
    </w:p>
    <w:p w14:paraId="630A5AC1" w14:textId="2880FC2C" w:rsidR="00833C23" w:rsidRDefault="0024107A" w:rsidP="005C18E8">
      <w:pPr>
        <w:pStyle w:val="Bullets"/>
      </w:pPr>
      <w:r w:rsidRPr="0024107A">
        <w:t>Engage an institution(s) of higher education. Specifically:</w:t>
      </w:r>
    </w:p>
    <w:p w14:paraId="1ED8CD13" w14:textId="038EA083" w:rsidR="00281CF3" w:rsidRDefault="0068001E" w:rsidP="00281CF3">
      <w:pPr>
        <w:pStyle w:val="Bullet2"/>
      </w:pPr>
      <w:r w:rsidRPr="0068001E">
        <w:t>Visit potential institutions.   </w:t>
      </w:r>
    </w:p>
    <w:p w14:paraId="07DE38EF" w14:textId="6D4C12C5" w:rsidR="0068001E" w:rsidRDefault="00F508DB" w:rsidP="00281CF3">
      <w:pPr>
        <w:pStyle w:val="Bullet2"/>
      </w:pPr>
      <w:r w:rsidRPr="00F508DB">
        <w:t>Share information about the BTE program, including impact and roles/responsibilities with institutional leadership.  FHI 360 can participate via conference call for the overview, if needed. </w:t>
      </w:r>
    </w:p>
    <w:p w14:paraId="31632F60" w14:textId="77777777" w:rsidR="004960B6" w:rsidRDefault="004960B6" w:rsidP="004960B6">
      <w:pPr>
        <w:pStyle w:val="NoteEmphasis"/>
        <w:ind w:right="0"/>
      </w:pPr>
      <w:r>
        <w:t>Tip!</w:t>
      </w:r>
      <w:r>
        <w:rPr>
          <w:spacing w:val="53"/>
        </w:rPr>
        <w:t xml:space="preserve"> </w:t>
      </w:r>
      <w:r>
        <w:t>See the</w:t>
      </w:r>
      <w:r>
        <w:rPr>
          <w:spacing w:val="-2"/>
        </w:rPr>
        <w:t xml:space="preserve"> </w:t>
      </w:r>
      <w:r>
        <w:t>BTE Overview PowerPoint presentation or the BTE Program Framework.</w:t>
      </w:r>
    </w:p>
    <w:p w14:paraId="16C828B2" w14:textId="558DB902" w:rsidR="00FF48AD" w:rsidRPr="00FF48AD" w:rsidRDefault="00FF48AD" w:rsidP="00FF48AD">
      <w:pPr>
        <w:pStyle w:val="Bullets"/>
        <w:numPr>
          <w:ilvl w:val="0"/>
          <w:numId w:val="12"/>
        </w:numPr>
      </w:pPr>
      <w:bookmarkStart w:id="5" w:name="_Hlk127444131"/>
      <w:r w:rsidRPr="00FF48AD">
        <w:t>Invite all interested institutions of higher education to a strategic planning meeting to solicit their input and gauge final commitment to the partnership. </w:t>
      </w:r>
    </w:p>
    <w:bookmarkEnd w:id="5"/>
    <w:p w14:paraId="22F4D4C3" w14:textId="77777777" w:rsidR="00281CF3" w:rsidRPr="00FF48AD" w:rsidRDefault="00281CF3" w:rsidP="00281CF3">
      <w:pPr>
        <w:pStyle w:val="Bullets"/>
        <w:numPr>
          <w:ilvl w:val="0"/>
          <w:numId w:val="0"/>
        </w:numPr>
        <w:ind w:left="648" w:hanging="288"/>
        <w:rPr>
          <w:color w:val="0070C0"/>
        </w:rPr>
      </w:pPr>
    </w:p>
    <w:p w14:paraId="1D864126" w14:textId="66ABFE27" w:rsidR="00FF48AD" w:rsidRPr="001A3381" w:rsidRDefault="001A3381" w:rsidP="001A3381">
      <w:pPr>
        <w:pStyle w:val="H2"/>
      </w:pPr>
      <w:r>
        <w:t>LETTER OF INTENT</w:t>
      </w:r>
    </w:p>
    <w:p w14:paraId="427E020E" w14:textId="69332041" w:rsidR="00FF48AD" w:rsidRDefault="00C15733" w:rsidP="00FF48AD">
      <w:pPr>
        <w:pStyle w:val="Bullets"/>
        <w:rPr>
          <w:shd w:val="clear" w:color="auto" w:fill="FFFFFF"/>
        </w:rPr>
      </w:pPr>
      <w:r w:rsidRPr="00C15733">
        <w:rPr>
          <w:shd w:val="clear" w:color="auto" w:fill="FFFFFF"/>
        </w:rPr>
        <w:t>Submit the Letter of Intent.  The selected coordinating entity will submit a two-page Letter of Intent to FHI 360 with the following attachments:</w:t>
      </w:r>
    </w:p>
    <w:p w14:paraId="0B55397B" w14:textId="53A1DE1C" w:rsidR="00FF48AD" w:rsidRDefault="005F5028" w:rsidP="00C15733">
      <w:pPr>
        <w:pStyle w:val="Bullets"/>
        <w:numPr>
          <w:ilvl w:val="0"/>
          <w:numId w:val="12"/>
        </w:numPr>
      </w:pPr>
      <w:r w:rsidRPr="005F5028">
        <w:t>Budget and Budget Narrative </w:t>
      </w:r>
    </w:p>
    <w:p w14:paraId="3D6D4C27" w14:textId="77777777" w:rsidR="005F5028" w:rsidRPr="001A3381" w:rsidRDefault="005F5028" w:rsidP="005F5028">
      <w:pPr>
        <w:pStyle w:val="Bullet2"/>
        <w:rPr>
          <w:rFonts w:eastAsia="Times New Roman" w:cs="Calibri Light"/>
          <w:szCs w:val="24"/>
        </w:rPr>
      </w:pPr>
      <w:r w:rsidRPr="001A3381">
        <w:rPr>
          <w:rStyle w:val="normaltextrun"/>
          <w:rFonts w:cs="Calibri Light"/>
        </w:rPr>
        <w:t>Signed Donation Agreement / Beneficiary Letter</w:t>
      </w:r>
      <w:r w:rsidRPr="001A3381">
        <w:rPr>
          <w:rStyle w:val="eop"/>
          <w:rFonts w:cs="Calibri Light"/>
        </w:rPr>
        <w:t> </w:t>
      </w:r>
    </w:p>
    <w:p w14:paraId="0182A873" w14:textId="77777777" w:rsidR="005F5028" w:rsidRPr="001A3381" w:rsidRDefault="005F5028" w:rsidP="005F5028">
      <w:pPr>
        <w:pStyle w:val="Bullet2"/>
        <w:rPr>
          <w:rStyle w:val="normaltextrun"/>
          <w:rFonts w:cs="Calibri Light"/>
        </w:rPr>
      </w:pPr>
      <w:r w:rsidRPr="001A3381">
        <w:rPr>
          <w:rStyle w:val="normaltextrun"/>
          <w:rFonts w:cs="Calibri Light"/>
        </w:rPr>
        <w:t>Health Care Compliance Questionnaire</w:t>
      </w:r>
    </w:p>
    <w:p w14:paraId="610D924D" w14:textId="77777777" w:rsidR="001A3381" w:rsidRPr="001A3381" w:rsidRDefault="005F5028" w:rsidP="001A3381">
      <w:pPr>
        <w:pStyle w:val="Bullet2"/>
        <w:rPr>
          <w:lang w:val="es-419"/>
        </w:rPr>
      </w:pPr>
      <w:r>
        <w:rPr>
          <w:rStyle w:val="eop"/>
          <w:rFonts w:ascii="Calibri" w:hAnsi="Calibri"/>
        </w:rPr>
        <w:lastRenderedPageBreak/>
        <w:t> </w:t>
      </w:r>
      <w:r w:rsidR="001A3381" w:rsidRPr="001A3381">
        <w:t>List of organizations Board members with affiliations</w:t>
      </w:r>
      <w:r w:rsidR="001A3381" w:rsidRPr="001A3381">
        <w:rPr>
          <w:lang w:val="es-419"/>
        </w:rPr>
        <w:t> </w:t>
      </w:r>
    </w:p>
    <w:p w14:paraId="60B27467" w14:textId="77777777" w:rsidR="001A3381" w:rsidRPr="001A3381" w:rsidRDefault="001A3381" w:rsidP="001A3381">
      <w:pPr>
        <w:pStyle w:val="Bullet2"/>
        <w:rPr>
          <w:lang w:val="es-419"/>
        </w:rPr>
      </w:pPr>
      <w:r w:rsidRPr="001A3381">
        <w:t>Evidence of 501(c)3 status (US-based organizations only)</w:t>
      </w:r>
      <w:r w:rsidRPr="001A3381">
        <w:rPr>
          <w:lang w:val="es-419"/>
        </w:rPr>
        <w:t> </w:t>
      </w:r>
    </w:p>
    <w:p w14:paraId="39288ADB" w14:textId="77777777" w:rsidR="001A3381" w:rsidRPr="001A3381" w:rsidRDefault="001A3381" w:rsidP="001A3381">
      <w:pPr>
        <w:pStyle w:val="Bullet2"/>
        <w:rPr>
          <w:lang w:val="es-419"/>
        </w:rPr>
      </w:pPr>
      <w:r w:rsidRPr="001A3381">
        <w:t>Legal status documentation (i.e.: 501(c)3, charter, trust deed, bylaws, constitution, certificate of registration) documentation</w:t>
      </w:r>
      <w:r w:rsidRPr="001A3381">
        <w:rPr>
          <w:lang w:val="es-419"/>
        </w:rPr>
        <w:t> </w:t>
      </w:r>
    </w:p>
    <w:p w14:paraId="6363BB90" w14:textId="77777777" w:rsidR="001A3381" w:rsidRPr="001A3381" w:rsidRDefault="001A3381" w:rsidP="001A3381">
      <w:pPr>
        <w:pStyle w:val="Bullet2"/>
        <w:rPr>
          <w:lang w:val="es-419"/>
        </w:rPr>
      </w:pPr>
      <w:r w:rsidRPr="001A3381">
        <w:t>Latest financial report (non-US-based sites, only)</w:t>
      </w:r>
      <w:r w:rsidRPr="001A3381">
        <w:rPr>
          <w:lang w:val="es-419"/>
        </w:rPr>
        <w:t> </w:t>
      </w:r>
    </w:p>
    <w:p w14:paraId="701DE121" w14:textId="563FC701" w:rsidR="001A3381" w:rsidRDefault="001A3381" w:rsidP="001A3381">
      <w:pPr>
        <w:pStyle w:val="NoteEmphasis"/>
        <w:ind w:right="0"/>
      </w:pPr>
      <w:bookmarkStart w:id="6" w:name="_Hlk127444459"/>
      <w:bookmarkStart w:id="7" w:name="_Hlk127444471"/>
      <w:r>
        <w:t>Tip!</w:t>
      </w:r>
      <w:r>
        <w:rPr>
          <w:spacing w:val="53"/>
        </w:rPr>
        <w:t xml:space="preserve"> </w:t>
      </w:r>
      <w:r>
        <w:t>See the</w:t>
      </w:r>
      <w:r>
        <w:rPr>
          <w:spacing w:val="-2"/>
        </w:rPr>
        <w:t xml:space="preserve"> </w:t>
      </w:r>
      <w:r>
        <w:t xml:space="preserve">BTE </w:t>
      </w:r>
      <w:r>
        <w:t>Application Guidelines and Letter of Commitment template</w:t>
      </w:r>
      <w:bookmarkEnd w:id="6"/>
      <w:r>
        <w:t>.</w:t>
      </w:r>
    </w:p>
    <w:p w14:paraId="31565404" w14:textId="6DFBB7B5" w:rsidR="001A3381" w:rsidRDefault="001A3381" w:rsidP="001A3381">
      <w:pPr>
        <w:pStyle w:val="H2"/>
      </w:pPr>
      <w:bookmarkStart w:id="8" w:name="_Hlk127444270"/>
      <w:bookmarkStart w:id="9" w:name="_Hlk127444693"/>
      <w:bookmarkStart w:id="10" w:name="_Hlk127444706"/>
      <w:bookmarkEnd w:id="7"/>
      <w:r>
        <w:t>STRATEGIC PLANNING SITE VISIT</w:t>
      </w:r>
      <w:bookmarkEnd w:id="9"/>
    </w:p>
    <w:bookmarkEnd w:id="8"/>
    <w:p w14:paraId="250F5068" w14:textId="5B9D0311" w:rsidR="005F5028" w:rsidRDefault="00B337C5" w:rsidP="00B337C5">
      <w:pPr>
        <w:pStyle w:val="Bullets"/>
      </w:pPr>
      <w:r w:rsidRPr="00B337C5">
        <w:t>Organize the Strategic Planning Site Visit for FHI 360. A Strategic Planning Site Visit is generally two to three days and is organized by the coordinating entity in collaboration with FHI 360; one week prior to the visit the coordinating entity should provide FHI 360 with a detailed agenda.</w:t>
      </w:r>
    </w:p>
    <w:bookmarkEnd w:id="10"/>
    <w:p w14:paraId="674A3B87" w14:textId="65F49E82" w:rsidR="00FF48AD" w:rsidRDefault="00B337C5" w:rsidP="00C15733">
      <w:pPr>
        <w:pStyle w:val="Bullets"/>
        <w:numPr>
          <w:ilvl w:val="0"/>
          <w:numId w:val="12"/>
        </w:numPr>
      </w:pPr>
      <w:r w:rsidRPr="00B337C5">
        <w:t>The Strategic Planning Site Visit includes the following agenda items: </w:t>
      </w:r>
    </w:p>
    <w:p w14:paraId="00142A0B" w14:textId="26A528DD" w:rsidR="00C42F41" w:rsidRDefault="00D216D6" w:rsidP="00C42F41">
      <w:pPr>
        <w:pStyle w:val="Bullets"/>
        <w:numPr>
          <w:ilvl w:val="0"/>
          <w:numId w:val="28"/>
        </w:numPr>
        <w:rPr>
          <w:color w:val="auto"/>
        </w:rPr>
      </w:pPr>
      <w:r w:rsidRPr="00A02E9D">
        <w:rPr>
          <w:b/>
          <w:bCs/>
          <w:color w:val="auto"/>
        </w:rPr>
        <w:t>J&amp;J Executive / Leadership Team</w:t>
      </w:r>
      <w:r w:rsidRPr="00A02E9D">
        <w:rPr>
          <w:b/>
          <w:bCs/>
          <w:color w:val="auto"/>
        </w:rPr>
        <w:t xml:space="preserve"> Meeting</w:t>
      </w:r>
      <w:r>
        <w:rPr>
          <w:color w:val="auto"/>
        </w:rPr>
        <w:t xml:space="preserve"> (optional)</w:t>
      </w:r>
    </w:p>
    <w:p w14:paraId="66347D92" w14:textId="68EE1BF2" w:rsidR="00D216D6" w:rsidRDefault="00A02E9D" w:rsidP="00C42F41">
      <w:pPr>
        <w:pStyle w:val="Bullets"/>
        <w:numPr>
          <w:ilvl w:val="0"/>
          <w:numId w:val="28"/>
        </w:numPr>
        <w:rPr>
          <w:color w:val="auto"/>
        </w:rPr>
      </w:pPr>
      <w:r w:rsidRPr="00A02E9D">
        <w:rPr>
          <w:b/>
          <w:bCs/>
          <w:color w:val="auto"/>
        </w:rPr>
        <w:t xml:space="preserve">Secondary School Meeting </w:t>
      </w:r>
      <w:r w:rsidRPr="00A02E9D">
        <w:rPr>
          <w:color w:val="auto"/>
        </w:rPr>
        <w:t>(Timeline: 1 - 2 hours) </w:t>
      </w:r>
    </w:p>
    <w:p w14:paraId="1628E611" w14:textId="77777777" w:rsidR="00A02E9D" w:rsidRPr="00A02E9D" w:rsidRDefault="00A02E9D" w:rsidP="00A02E9D">
      <w:pPr>
        <w:pStyle w:val="Bullets"/>
        <w:numPr>
          <w:ilvl w:val="0"/>
          <w:numId w:val="28"/>
        </w:numPr>
        <w:rPr>
          <w:lang w:val="es-419"/>
        </w:rPr>
      </w:pPr>
      <w:r w:rsidRPr="00A02E9D">
        <w:rPr>
          <w:b/>
          <w:bCs/>
        </w:rPr>
        <w:t>Strategic Planning Meeting</w:t>
      </w:r>
      <w:r w:rsidRPr="00A02E9D">
        <w:t xml:space="preserve"> (Timeline: full day; 6 hours)</w:t>
      </w:r>
      <w:r w:rsidRPr="00A02E9D">
        <w:rPr>
          <w:lang w:val="es-419"/>
        </w:rPr>
        <w:t> </w:t>
      </w:r>
    </w:p>
    <w:p w14:paraId="44A417F0" w14:textId="6FB99161" w:rsidR="00A02E9D" w:rsidRDefault="00A02E9D" w:rsidP="00A02E9D">
      <w:pPr>
        <w:pStyle w:val="Bullets"/>
        <w:numPr>
          <w:ilvl w:val="0"/>
          <w:numId w:val="28"/>
        </w:numPr>
        <w:rPr>
          <w:lang w:val="es-419"/>
        </w:rPr>
      </w:pPr>
      <w:r w:rsidRPr="00A02E9D">
        <w:rPr>
          <w:b/>
          <w:bCs/>
        </w:rPr>
        <w:t xml:space="preserve">Management Meeting </w:t>
      </w:r>
      <w:r w:rsidRPr="00A02E9D">
        <w:t>(Timeline: 1 hour)</w:t>
      </w:r>
      <w:r w:rsidRPr="00A02E9D">
        <w:rPr>
          <w:lang w:val="es-419"/>
        </w:rPr>
        <w:t> </w:t>
      </w:r>
    </w:p>
    <w:p w14:paraId="2EB38FD7" w14:textId="659D7A7D" w:rsidR="00A02E9D" w:rsidRPr="00A02E9D" w:rsidRDefault="00A02E9D" w:rsidP="00A02E9D">
      <w:pPr>
        <w:pStyle w:val="NoteEmphasis"/>
        <w:ind w:right="0"/>
      </w:pPr>
      <w:r>
        <w:t>Tip!</w:t>
      </w:r>
      <w:r>
        <w:rPr>
          <w:spacing w:val="53"/>
        </w:rPr>
        <w:t xml:space="preserve"> </w:t>
      </w:r>
      <w:r>
        <w:t>See the</w:t>
      </w:r>
      <w:r>
        <w:rPr>
          <w:spacing w:val="-2"/>
        </w:rPr>
        <w:t xml:space="preserve"> </w:t>
      </w:r>
      <w:r>
        <w:t xml:space="preserve">BTE </w:t>
      </w:r>
      <w:r>
        <w:t>Site Visit Agenda Checklist</w:t>
      </w:r>
    </w:p>
    <w:p w14:paraId="0BC79E3C" w14:textId="0F2B0496" w:rsidR="00FF48AD" w:rsidRDefault="00C42F41" w:rsidP="00C15733">
      <w:pPr>
        <w:pStyle w:val="Bullets"/>
        <w:numPr>
          <w:ilvl w:val="0"/>
          <w:numId w:val="12"/>
        </w:numPr>
      </w:pPr>
      <w:r w:rsidRPr="00C42F41">
        <w:t>Send invitations to all confirmed/ potential partner organizations at least one month prior to the meeting; organizations should be encouraged to bring at least two representatives. </w:t>
      </w:r>
    </w:p>
    <w:p w14:paraId="5149F69A" w14:textId="16743D80" w:rsidR="00FF48AD" w:rsidRDefault="00C42F41" w:rsidP="00A02E9D">
      <w:pPr>
        <w:pStyle w:val="Bullets"/>
        <w:numPr>
          <w:ilvl w:val="0"/>
          <w:numId w:val="12"/>
        </w:numPr>
      </w:pPr>
      <w:r w:rsidRPr="00C42F41">
        <w:t>Confirm and send the site visit agenda and list of attendees with FHI 360 at least two weeks prior to the visit. </w:t>
      </w:r>
    </w:p>
    <w:p w14:paraId="26C56BDF" w14:textId="0B45EAB7" w:rsidR="002E3FD3" w:rsidRDefault="00001EDD" w:rsidP="006836D3">
      <w:pPr>
        <w:pStyle w:val="Bullets"/>
      </w:pPr>
      <w:r w:rsidRPr="00001EDD">
        <w:t>Prepare for the Strategic Planning Meeting.  </w:t>
      </w:r>
    </w:p>
    <w:p w14:paraId="2CE03B32" w14:textId="0FB50900" w:rsidR="00001EDD" w:rsidRDefault="007E6AE2" w:rsidP="00001EDD">
      <w:pPr>
        <w:pStyle w:val="Bullets"/>
        <w:numPr>
          <w:ilvl w:val="0"/>
          <w:numId w:val="12"/>
        </w:numPr>
      </w:pPr>
      <w:bookmarkStart w:id="11" w:name="_Hlk127444621"/>
      <w:r w:rsidRPr="007E6AE2">
        <w:t>Distribute pre-work to all attendees at least two-weeks prior to the meeting, including: </w:t>
      </w:r>
    </w:p>
    <w:bookmarkEnd w:id="11"/>
    <w:p w14:paraId="429A08FC" w14:textId="01E38C2A" w:rsidR="00001EDD" w:rsidRDefault="00001EDD" w:rsidP="00920A98">
      <w:pPr>
        <w:pStyle w:val="Bullets"/>
        <w:numPr>
          <w:ilvl w:val="0"/>
          <w:numId w:val="31"/>
        </w:numPr>
      </w:pPr>
      <w:r w:rsidRPr="00001EDD">
        <w:rPr>
          <w:b/>
          <w:bCs/>
        </w:rPr>
        <w:t>J&amp;J Executive / Leadership Team Meeting</w:t>
      </w:r>
      <w:r w:rsidRPr="00001EDD">
        <w:t xml:space="preserve"> (optional)</w:t>
      </w:r>
    </w:p>
    <w:p w14:paraId="32AB1A3F" w14:textId="715C322F" w:rsidR="00920A98" w:rsidRDefault="00920A98" w:rsidP="00920A98">
      <w:pPr>
        <w:pStyle w:val="Bullets"/>
        <w:numPr>
          <w:ilvl w:val="0"/>
          <w:numId w:val="31"/>
        </w:numPr>
      </w:pPr>
      <w:r w:rsidRPr="00920A98">
        <w:rPr>
          <w:b/>
          <w:bCs/>
        </w:rPr>
        <w:t xml:space="preserve">Community Data Questionnaire </w:t>
      </w:r>
      <w:r w:rsidRPr="00920A98">
        <w:t>(secondary school and/or coordinating entity)  </w:t>
      </w:r>
    </w:p>
    <w:p w14:paraId="5592109E" w14:textId="51F34354" w:rsidR="004B5650" w:rsidRPr="00001EDD" w:rsidRDefault="004B5650" w:rsidP="004B5650">
      <w:pPr>
        <w:pStyle w:val="NoteEmphasis"/>
        <w:ind w:right="0"/>
      </w:pPr>
      <w:r>
        <w:t>Tip!</w:t>
      </w:r>
      <w:r>
        <w:rPr>
          <w:spacing w:val="53"/>
        </w:rPr>
        <w:t xml:space="preserve"> </w:t>
      </w:r>
      <w:r>
        <w:t>See the</w:t>
      </w:r>
      <w:r>
        <w:rPr>
          <w:spacing w:val="-2"/>
        </w:rPr>
        <w:t xml:space="preserve"> </w:t>
      </w:r>
      <w:r>
        <w:t>BTE Site Visit Agenda Checklist</w:t>
      </w:r>
    </w:p>
    <w:p w14:paraId="25D734B0" w14:textId="42CE483D" w:rsidR="00920A98" w:rsidRDefault="009A5CDF" w:rsidP="00920A98">
      <w:pPr>
        <w:pStyle w:val="Bullets"/>
        <w:numPr>
          <w:ilvl w:val="0"/>
          <w:numId w:val="12"/>
        </w:numPr>
      </w:pPr>
      <w:r w:rsidRPr="009A5CDF">
        <w:t>Reach out to FHI 360 at any time while preparing for the Strategic Planning Meeting </w:t>
      </w:r>
    </w:p>
    <w:p w14:paraId="467F5197" w14:textId="2B7F87D7" w:rsidR="009A5CDF" w:rsidRDefault="009A5CDF" w:rsidP="00920A98">
      <w:pPr>
        <w:pStyle w:val="Bullets"/>
        <w:numPr>
          <w:ilvl w:val="0"/>
          <w:numId w:val="12"/>
        </w:numPr>
      </w:pPr>
      <w:r w:rsidRPr="009A5CDF">
        <w:t>Complete pre-work with colleagues and be prepared to discuss during the strategic planning meeting. </w:t>
      </w:r>
    </w:p>
    <w:p w14:paraId="2D13F8F0" w14:textId="77777777" w:rsidR="009A5CDF" w:rsidRDefault="009A5CDF" w:rsidP="004B5650">
      <w:pPr>
        <w:pStyle w:val="Bullets"/>
        <w:numPr>
          <w:ilvl w:val="0"/>
          <w:numId w:val="0"/>
        </w:numPr>
        <w:ind w:left="810"/>
      </w:pPr>
    </w:p>
    <w:p w14:paraId="4BE31B2A" w14:textId="6DF529F8" w:rsidR="004B5650" w:rsidRDefault="004B5650" w:rsidP="004B5650">
      <w:pPr>
        <w:pStyle w:val="H2"/>
      </w:pPr>
      <w:r>
        <w:t>STRATEGIC PLANNING</w:t>
      </w:r>
    </w:p>
    <w:p w14:paraId="6295EACE" w14:textId="21EE4AE0" w:rsidR="004B5650" w:rsidRDefault="004B5650" w:rsidP="004B5650">
      <w:pPr>
        <w:pStyle w:val="Bullets"/>
      </w:pPr>
      <w:r>
        <w:t>Initiate strategic planning</w:t>
      </w:r>
    </w:p>
    <w:p w14:paraId="62DAB999" w14:textId="3DDCACDC" w:rsidR="002E3FD3" w:rsidRDefault="004B5650" w:rsidP="004B5650">
      <w:pPr>
        <w:pStyle w:val="NoteEmphasis"/>
        <w:ind w:right="0"/>
      </w:pPr>
      <w:r>
        <w:t>Tip!</w:t>
      </w:r>
      <w:r>
        <w:rPr>
          <w:spacing w:val="53"/>
        </w:rPr>
        <w:t xml:space="preserve"> </w:t>
      </w:r>
      <w:r>
        <w:t>See the</w:t>
      </w:r>
      <w:r>
        <w:rPr>
          <w:spacing w:val="-2"/>
        </w:rPr>
        <w:t xml:space="preserve"> </w:t>
      </w:r>
      <w:r>
        <w:t>Strategic Planning Checklist</w:t>
      </w:r>
    </w:p>
    <w:sectPr w:rsidR="002E3FD3" w:rsidSect="003F6BAF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2787" w:right="1440" w:bottom="2118" w:left="1440" w:header="720" w:footer="156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29437" w14:textId="77777777" w:rsidR="00FB2E74" w:rsidRDefault="00FB2E74" w:rsidP="002E3FD3">
      <w:r>
        <w:separator/>
      </w:r>
    </w:p>
  </w:endnote>
  <w:endnote w:type="continuationSeparator" w:id="0">
    <w:p w14:paraId="68BA4088" w14:textId="77777777" w:rsidR="00FB2E74" w:rsidRDefault="00FB2E74" w:rsidP="002E3FD3">
      <w:r>
        <w:continuationSeparator/>
      </w:r>
    </w:p>
  </w:endnote>
  <w:endnote w:type="continuationNotice" w:id="1">
    <w:p w14:paraId="6557B8A7" w14:textId="77777777" w:rsidR="0049290D" w:rsidRDefault="004929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245240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3748B8" w14:textId="1062FDCE" w:rsidR="0094209B" w:rsidRDefault="0094209B" w:rsidP="003116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6F1CAF" w14:textId="77777777" w:rsidR="0094209B" w:rsidRDefault="0094209B" w:rsidP="009420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b/>
        <w:bCs/>
        <w:color w:val="1B4383"/>
      </w:rPr>
      <w:id w:val="-8534951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DB1183" w14:textId="19F05534" w:rsidR="0094209B" w:rsidRPr="00EC627A" w:rsidRDefault="0094209B" w:rsidP="00311648">
        <w:pPr>
          <w:pStyle w:val="Footer"/>
          <w:framePr w:wrap="none" w:vAnchor="text" w:hAnchor="margin" w:xAlign="right" w:y="1"/>
          <w:rPr>
            <w:rStyle w:val="PageNumber"/>
            <w:b/>
            <w:bCs/>
            <w:color w:val="1B4383"/>
          </w:rPr>
        </w:pPr>
        <w:r w:rsidRPr="00EC627A">
          <w:rPr>
            <w:rStyle w:val="PageNumber"/>
            <w:b/>
            <w:bCs/>
            <w:color w:val="1B4383"/>
          </w:rPr>
          <w:fldChar w:fldCharType="begin"/>
        </w:r>
        <w:r w:rsidRPr="00EC627A">
          <w:rPr>
            <w:rStyle w:val="PageNumber"/>
            <w:b/>
            <w:bCs/>
            <w:color w:val="1B4383"/>
          </w:rPr>
          <w:instrText xml:space="preserve"> PAGE </w:instrText>
        </w:r>
        <w:r w:rsidRPr="00EC627A">
          <w:rPr>
            <w:rStyle w:val="PageNumber"/>
            <w:b/>
            <w:bCs/>
            <w:color w:val="1B4383"/>
          </w:rPr>
          <w:fldChar w:fldCharType="separate"/>
        </w:r>
        <w:r w:rsidRPr="00EC627A">
          <w:rPr>
            <w:rStyle w:val="PageNumber"/>
            <w:b/>
            <w:bCs/>
            <w:noProof/>
            <w:color w:val="1B4383"/>
          </w:rPr>
          <w:t>2</w:t>
        </w:r>
        <w:r w:rsidRPr="00EC627A">
          <w:rPr>
            <w:rStyle w:val="PageNumber"/>
            <w:b/>
            <w:bCs/>
            <w:color w:val="1B4383"/>
          </w:rPr>
          <w:fldChar w:fldCharType="end"/>
        </w:r>
      </w:p>
    </w:sdtContent>
  </w:sdt>
  <w:p w14:paraId="6F65EA0F" w14:textId="77777777" w:rsidR="0094209B" w:rsidRPr="00EC627A" w:rsidRDefault="0094209B" w:rsidP="0094209B">
    <w:pPr>
      <w:pStyle w:val="Footer"/>
      <w:ind w:right="360"/>
      <w:rPr>
        <w:b/>
        <w:bCs/>
        <w:color w:val="1B438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CD6EC" w14:textId="77777777" w:rsidR="00FB2E74" w:rsidRDefault="00FB2E74" w:rsidP="002E3FD3">
      <w:r>
        <w:separator/>
      </w:r>
    </w:p>
  </w:footnote>
  <w:footnote w:type="continuationSeparator" w:id="0">
    <w:p w14:paraId="14C8C994" w14:textId="77777777" w:rsidR="00FB2E74" w:rsidRDefault="00FB2E74" w:rsidP="002E3FD3">
      <w:r>
        <w:continuationSeparator/>
      </w:r>
    </w:p>
  </w:footnote>
  <w:footnote w:type="continuationNotice" w:id="1">
    <w:p w14:paraId="2D433B61" w14:textId="77777777" w:rsidR="0049290D" w:rsidRDefault="004929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03D" w14:textId="18C55B9E" w:rsidR="002E3FD3" w:rsidRDefault="002E3FD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586D53" wp14:editId="64A4812B">
          <wp:simplePos x="0" y="0"/>
          <wp:positionH relativeFrom="column">
            <wp:posOffset>-927100</wp:posOffset>
          </wp:positionH>
          <wp:positionV relativeFrom="paragraph">
            <wp:posOffset>-444370</wp:posOffset>
          </wp:positionV>
          <wp:extent cx="7789068" cy="10079970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068" cy="10079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2A45D" w14:textId="451F214B" w:rsidR="002E3FD3" w:rsidRDefault="00A52F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78A0116" wp14:editId="60E612EB">
              <wp:simplePos x="0" y="0"/>
              <wp:positionH relativeFrom="column">
                <wp:posOffset>-241300</wp:posOffset>
              </wp:positionH>
              <wp:positionV relativeFrom="paragraph">
                <wp:posOffset>-215900</wp:posOffset>
              </wp:positionV>
              <wp:extent cx="3886200" cy="939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939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A4A18E" w14:textId="4EA14971" w:rsidR="00503FA2" w:rsidRDefault="007E140D" w:rsidP="00A52F2D">
                          <w:pPr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 xml:space="preserve">Cultivation </w:t>
                          </w:r>
                          <w:r w:rsidR="00DC47E5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&amp; Exploration</w:t>
                          </w:r>
                        </w:p>
                        <w:p w14:paraId="2AB30D69" w14:textId="00437143" w:rsidR="00DC47E5" w:rsidRPr="009858B7" w:rsidRDefault="00DC47E5" w:rsidP="00A52F2D">
                          <w:pPr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Checklist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8A01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9pt;margin-top:-17pt;width:306pt;height:74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" filled="f" stroked="f" strokeweight=".5pt">
              <v:textbox>
                <w:txbxContent>
                  <w:p w14:paraId="40A4A18E" w14:textId="4EA14971" w:rsidR="00503FA2" w:rsidRDefault="007E140D" w:rsidP="00A52F2D">
                    <w:pPr>
                      <w:rPr>
                        <w:color w:val="FFFFFF" w:themeColor="background1"/>
                        <w:sz w:val="56"/>
                        <w:szCs w:val="56"/>
                      </w:rPr>
                    </w:pPr>
                    <w:r>
                      <w:rPr>
                        <w:color w:val="FFFFFF" w:themeColor="background1"/>
                        <w:sz w:val="56"/>
                        <w:szCs w:val="56"/>
                      </w:rPr>
                      <w:t xml:space="preserve">Cultivation </w:t>
                    </w:r>
                    <w:r w:rsidR="00DC47E5">
                      <w:rPr>
                        <w:color w:val="FFFFFF" w:themeColor="background1"/>
                        <w:sz w:val="56"/>
                        <w:szCs w:val="56"/>
                      </w:rPr>
                      <w:t>&amp; Exploration</w:t>
                    </w:r>
                  </w:p>
                  <w:p w14:paraId="2AB30D69" w14:textId="00437143" w:rsidR="00DC47E5" w:rsidRPr="009858B7" w:rsidRDefault="00DC47E5" w:rsidP="00A52F2D">
                    <w:pPr>
                      <w:rPr>
                        <w:color w:val="FFFFFF" w:themeColor="background1"/>
                        <w:sz w:val="56"/>
                        <w:szCs w:val="56"/>
                      </w:rPr>
                    </w:pPr>
                    <w:r>
                      <w:rPr>
                        <w:color w:val="FFFFFF" w:themeColor="background1"/>
                        <w:sz w:val="56"/>
                        <w:szCs w:val="56"/>
                      </w:rPr>
                      <w:t>Checklist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111B7C6E" wp14:editId="7894B2D4">
          <wp:simplePos x="0" y="0"/>
          <wp:positionH relativeFrom="column">
            <wp:posOffset>-901700</wp:posOffset>
          </wp:positionH>
          <wp:positionV relativeFrom="paragraph">
            <wp:posOffset>-431800</wp:posOffset>
          </wp:positionV>
          <wp:extent cx="7760502" cy="10043002"/>
          <wp:effectExtent l="0" t="0" r="0" b="3175"/>
          <wp:wrapNone/>
          <wp:docPr id="7" name="Picture 7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502" cy="10043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986"/>
    <w:multiLevelType w:val="multilevel"/>
    <w:tmpl w:val="77903C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645230F"/>
    <w:multiLevelType w:val="hybridMultilevel"/>
    <w:tmpl w:val="C84234F0"/>
    <w:lvl w:ilvl="0" w:tplc="47446EEC">
      <w:start w:val="1"/>
      <w:numFmt w:val="decimal"/>
      <w:lvlText w:val="%1."/>
      <w:lvlJc w:val="left"/>
      <w:pPr>
        <w:ind w:left="1458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178" w:hanging="360"/>
      </w:pPr>
    </w:lvl>
    <w:lvl w:ilvl="2" w:tplc="580A001B" w:tentative="1">
      <w:start w:val="1"/>
      <w:numFmt w:val="lowerRoman"/>
      <w:lvlText w:val="%3."/>
      <w:lvlJc w:val="right"/>
      <w:pPr>
        <w:ind w:left="2898" w:hanging="180"/>
      </w:pPr>
    </w:lvl>
    <w:lvl w:ilvl="3" w:tplc="580A000F" w:tentative="1">
      <w:start w:val="1"/>
      <w:numFmt w:val="decimal"/>
      <w:lvlText w:val="%4."/>
      <w:lvlJc w:val="left"/>
      <w:pPr>
        <w:ind w:left="3618" w:hanging="360"/>
      </w:pPr>
    </w:lvl>
    <w:lvl w:ilvl="4" w:tplc="580A0019" w:tentative="1">
      <w:start w:val="1"/>
      <w:numFmt w:val="lowerLetter"/>
      <w:lvlText w:val="%5."/>
      <w:lvlJc w:val="left"/>
      <w:pPr>
        <w:ind w:left="4338" w:hanging="360"/>
      </w:pPr>
    </w:lvl>
    <w:lvl w:ilvl="5" w:tplc="580A001B" w:tentative="1">
      <w:start w:val="1"/>
      <w:numFmt w:val="lowerRoman"/>
      <w:lvlText w:val="%6."/>
      <w:lvlJc w:val="right"/>
      <w:pPr>
        <w:ind w:left="5058" w:hanging="180"/>
      </w:pPr>
    </w:lvl>
    <w:lvl w:ilvl="6" w:tplc="580A000F" w:tentative="1">
      <w:start w:val="1"/>
      <w:numFmt w:val="decimal"/>
      <w:lvlText w:val="%7."/>
      <w:lvlJc w:val="left"/>
      <w:pPr>
        <w:ind w:left="5778" w:hanging="360"/>
      </w:pPr>
    </w:lvl>
    <w:lvl w:ilvl="7" w:tplc="580A0019" w:tentative="1">
      <w:start w:val="1"/>
      <w:numFmt w:val="lowerLetter"/>
      <w:lvlText w:val="%8."/>
      <w:lvlJc w:val="left"/>
      <w:pPr>
        <w:ind w:left="6498" w:hanging="360"/>
      </w:pPr>
    </w:lvl>
    <w:lvl w:ilvl="8" w:tplc="580A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2" w15:restartNumberingAfterBreak="0">
    <w:nsid w:val="0AF05CC6"/>
    <w:multiLevelType w:val="multilevel"/>
    <w:tmpl w:val="A9BA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3F1D20"/>
    <w:multiLevelType w:val="hybridMultilevel"/>
    <w:tmpl w:val="01E63714"/>
    <w:lvl w:ilvl="0" w:tplc="C0CA9134">
      <w:numFmt w:val="bullet"/>
      <w:lvlText w:val=""/>
      <w:lvlJc w:val="left"/>
      <w:pPr>
        <w:ind w:left="49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2A3A47EC">
      <w:numFmt w:val="bullet"/>
      <w:lvlText w:val=""/>
      <w:lvlJc w:val="left"/>
      <w:pPr>
        <w:ind w:left="851" w:hanging="328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2" w:tplc="C10C7BC0"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7A1296AA">
      <w:numFmt w:val="bullet"/>
      <w:lvlText w:val=""/>
      <w:lvlJc w:val="left"/>
      <w:pPr>
        <w:ind w:left="157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 w:tplc="3A621250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5" w:tplc="ED242100">
      <w:numFmt w:val="bullet"/>
      <w:lvlText w:val="•"/>
      <w:lvlJc w:val="left"/>
      <w:pPr>
        <w:ind w:left="3083" w:hanging="360"/>
      </w:pPr>
      <w:rPr>
        <w:rFonts w:hint="default"/>
        <w:lang w:val="en-US" w:eastAsia="en-US" w:bidi="ar-SA"/>
      </w:rPr>
    </w:lvl>
    <w:lvl w:ilvl="6" w:tplc="5F6AC9CE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ar-SA"/>
      </w:rPr>
    </w:lvl>
    <w:lvl w:ilvl="7" w:tplc="78280A9E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8" w:tplc="CF84B94A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1592BF1"/>
    <w:multiLevelType w:val="hybridMultilevel"/>
    <w:tmpl w:val="C7EC1BE2"/>
    <w:lvl w:ilvl="0" w:tplc="940281B6">
      <w:start w:val="1"/>
      <w:numFmt w:val="decimal"/>
      <w:lvlText w:val="%1."/>
      <w:lvlJc w:val="left"/>
      <w:pPr>
        <w:ind w:left="1458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2178" w:hanging="360"/>
      </w:pPr>
    </w:lvl>
    <w:lvl w:ilvl="2" w:tplc="580A001B" w:tentative="1">
      <w:start w:val="1"/>
      <w:numFmt w:val="lowerRoman"/>
      <w:lvlText w:val="%3."/>
      <w:lvlJc w:val="right"/>
      <w:pPr>
        <w:ind w:left="2898" w:hanging="180"/>
      </w:pPr>
    </w:lvl>
    <w:lvl w:ilvl="3" w:tplc="580A000F" w:tentative="1">
      <w:start w:val="1"/>
      <w:numFmt w:val="decimal"/>
      <w:lvlText w:val="%4."/>
      <w:lvlJc w:val="left"/>
      <w:pPr>
        <w:ind w:left="3618" w:hanging="360"/>
      </w:pPr>
    </w:lvl>
    <w:lvl w:ilvl="4" w:tplc="580A0019" w:tentative="1">
      <w:start w:val="1"/>
      <w:numFmt w:val="lowerLetter"/>
      <w:lvlText w:val="%5."/>
      <w:lvlJc w:val="left"/>
      <w:pPr>
        <w:ind w:left="4338" w:hanging="360"/>
      </w:pPr>
    </w:lvl>
    <w:lvl w:ilvl="5" w:tplc="580A001B" w:tentative="1">
      <w:start w:val="1"/>
      <w:numFmt w:val="lowerRoman"/>
      <w:lvlText w:val="%6."/>
      <w:lvlJc w:val="right"/>
      <w:pPr>
        <w:ind w:left="5058" w:hanging="180"/>
      </w:pPr>
    </w:lvl>
    <w:lvl w:ilvl="6" w:tplc="580A000F" w:tentative="1">
      <w:start w:val="1"/>
      <w:numFmt w:val="decimal"/>
      <w:lvlText w:val="%7."/>
      <w:lvlJc w:val="left"/>
      <w:pPr>
        <w:ind w:left="5778" w:hanging="360"/>
      </w:pPr>
    </w:lvl>
    <w:lvl w:ilvl="7" w:tplc="580A0019" w:tentative="1">
      <w:start w:val="1"/>
      <w:numFmt w:val="lowerLetter"/>
      <w:lvlText w:val="%8."/>
      <w:lvlJc w:val="left"/>
      <w:pPr>
        <w:ind w:left="6498" w:hanging="360"/>
      </w:pPr>
    </w:lvl>
    <w:lvl w:ilvl="8" w:tplc="580A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5" w15:restartNumberingAfterBreak="0">
    <w:nsid w:val="11687456"/>
    <w:multiLevelType w:val="multilevel"/>
    <w:tmpl w:val="DB8411A2"/>
    <w:styleLink w:val="CurrentList2"/>
    <w:lvl w:ilvl="0">
      <w:numFmt w:val="bullet"/>
      <w:lvlText w:val=""/>
      <w:lvlJc w:val="left"/>
      <w:pPr>
        <w:ind w:left="49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>
      <w:numFmt w:val="bullet"/>
      <w:lvlText w:val=""/>
      <w:lvlJc w:val="left"/>
      <w:pPr>
        <w:ind w:left="851" w:hanging="328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2"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157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08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79A1241"/>
    <w:multiLevelType w:val="multilevel"/>
    <w:tmpl w:val="CAB61ED0"/>
    <w:styleLink w:val="CurrentList7"/>
    <w:lvl w:ilvl="0">
      <w:numFmt w:val="bullet"/>
      <w:lvlText w:val=""/>
      <w:lvlJc w:val="left"/>
      <w:pPr>
        <w:ind w:left="49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>
      <w:numFmt w:val="bullet"/>
      <w:lvlText w:val=""/>
      <w:lvlJc w:val="left"/>
      <w:pPr>
        <w:ind w:left="851" w:hanging="328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2"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157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08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8650301"/>
    <w:multiLevelType w:val="hybridMultilevel"/>
    <w:tmpl w:val="C372A072"/>
    <w:lvl w:ilvl="0" w:tplc="0C22DC3E">
      <w:start w:val="1"/>
      <w:numFmt w:val="bullet"/>
      <w:pStyle w:val="GEBullets"/>
      <w:lvlText w:val=""/>
      <w:lvlJc w:val="left"/>
      <w:pPr>
        <w:ind w:left="90" w:hanging="360"/>
      </w:pPr>
      <w:rPr>
        <w:rFonts w:ascii="Symbol" w:hAnsi="Symbol" w:hint="default"/>
        <w:color w:val="33CCFF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8" w15:restartNumberingAfterBreak="0">
    <w:nsid w:val="18B50888"/>
    <w:multiLevelType w:val="multilevel"/>
    <w:tmpl w:val="EAB6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0E2935"/>
    <w:multiLevelType w:val="multilevel"/>
    <w:tmpl w:val="E0B2AD26"/>
    <w:styleLink w:val="CurrentList4"/>
    <w:lvl w:ilvl="0">
      <w:numFmt w:val="bullet"/>
      <w:lvlText w:val="o"/>
      <w:lvlJc w:val="left"/>
      <w:pPr>
        <w:ind w:left="360" w:hanging="288"/>
      </w:pPr>
      <w:rPr>
        <w:rFonts w:ascii="Courier New" w:hAnsi="Courier New" w:hint="default"/>
        <w:color w:val="6086B5"/>
        <w:w w:val="1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51872"/>
    <w:multiLevelType w:val="multilevel"/>
    <w:tmpl w:val="0F441D2A"/>
    <w:styleLink w:val="CurrentList6"/>
    <w:lvl w:ilvl="0">
      <w:numFmt w:val="bullet"/>
      <w:lvlText w:val="o"/>
      <w:lvlJc w:val="left"/>
      <w:pPr>
        <w:ind w:left="648" w:hanging="288"/>
      </w:pPr>
      <w:rPr>
        <w:rFonts w:ascii="Courier New" w:hAnsi="Courier New" w:hint="default"/>
        <w:color w:val="6086B5"/>
        <w:w w:val="1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B11AB"/>
    <w:multiLevelType w:val="multilevel"/>
    <w:tmpl w:val="5404AB62"/>
    <w:styleLink w:val="CurrentList5"/>
    <w:lvl w:ilvl="0">
      <w:numFmt w:val="bullet"/>
      <w:lvlText w:val="o"/>
      <w:lvlJc w:val="left"/>
      <w:pPr>
        <w:ind w:left="648" w:hanging="288"/>
      </w:pPr>
      <w:rPr>
        <w:rFonts w:ascii="Courier New" w:hAnsi="Courier New" w:hint="default"/>
        <w:color w:val="6086B5"/>
        <w:w w:val="1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82C62"/>
    <w:multiLevelType w:val="multilevel"/>
    <w:tmpl w:val="B2CE13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D9725B"/>
    <w:multiLevelType w:val="multilevel"/>
    <w:tmpl w:val="A2AC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18128C"/>
    <w:multiLevelType w:val="multilevel"/>
    <w:tmpl w:val="5F1E58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D3F4BFA"/>
    <w:multiLevelType w:val="hybridMultilevel"/>
    <w:tmpl w:val="41107544"/>
    <w:lvl w:ilvl="0" w:tplc="4948DA1E">
      <w:numFmt w:val="bullet"/>
      <w:lvlText w:val=""/>
      <w:lvlJc w:val="left"/>
      <w:pPr>
        <w:ind w:left="432" w:hanging="432"/>
      </w:pPr>
      <w:rPr>
        <w:rFonts w:ascii="Wingdings" w:hAnsi="Wingdings" w:cs="Wingdings" w:hint="default"/>
        <w:color w:val="6086B5"/>
        <w:w w:val="99"/>
        <w:position w:val="-6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70029"/>
    <w:multiLevelType w:val="multilevel"/>
    <w:tmpl w:val="F9A28498"/>
    <w:styleLink w:val="CurrentList1"/>
    <w:lvl w:ilvl="0">
      <w:numFmt w:val="bullet"/>
      <w:lvlText w:val=""/>
      <w:lvlJc w:val="left"/>
      <w:pPr>
        <w:ind w:left="49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>
      <w:numFmt w:val="bullet"/>
      <w:lvlText w:val=""/>
      <w:lvlJc w:val="left"/>
      <w:pPr>
        <w:ind w:left="851" w:hanging="328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ar-SA"/>
      </w:rPr>
    </w:lvl>
    <w:lvl w:ilvl="2"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157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08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0B93759"/>
    <w:multiLevelType w:val="multilevel"/>
    <w:tmpl w:val="2A403F1C"/>
    <w:styleLink w:val="CurrentList3"/>
    <w:lvl w:ilvl="0"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6086B5"/>
        <w:w w:val="1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E1D6A"/>
    <w:multiLevelType w:val="hybridMultilevel"/>
    <w:tmpl w:val="20AA8A46"/>
    <w:lvl w:ilvl="0" w:tplc="377AD110">
      <w:numFmt w:val="bullet"/>
      <w:lvlText w:val="o"/>
      <w:lvlJc w:val="left"/>
      <w:pPr>
        <w:ind w:left="648" w:hanging="288"/>
      </w:pPr>
      <w:rPr>
        <w:rFonts w:ascii="Courier New" w:hAnsi="Courier New" w:hint="default"/>
        <w:color w:val="6086B5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A219E"/>
    <w:multiLevelType w:val="hybridMultilevel"/>
    <w:tmpl w:val="A64427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52F8B"/>
    <w:multiLevelType w:val="multilevel"/>
    <w:tmpl w:val="6AEA17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FD7522"/>
    <w:multiLevelType w:val="multilevel"/>
    <w:tmpl w:val="E1BC73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532D3AF1"/>
    <w:multiLevelType w:val="hybridMultilevel"/>
    <w:tmpl w:val="47422178"/>
    <w:lvl w:ilvl="0" w:tplc="5A085042">
      <w:start w:val="1"/>
      <w:numFmt w:val="decimal"/>
      <w:lvlText w:val="%1."/>
      <w:lvlJc w:val="left"/>
      <w:pPr>
        <w:ind w:left="990" w:hanging="360"/>
      </w:pPr>
      <w:rPr>
        <w:rFonts w:hint="default"/>
        <w:color w:val="2F5496" w:themeColor="accent1" w:themeShade="BF"/>
      </w:rPr>
    </w:lvl>
    <w:lvl w:ilvl="1" w:tplc="580A0019" w:tentative="1">
      <w:start w:val="1"/>
      <w:numFmt w:val="lowerLetter"/>
      <w:lvlText w:val="%2."/>
      <w:lvlJc w:val="left"/>
      <w:pPr>
        <w:ind w:left="1728" w:hanging="360"/>
      </w:pPr>
    </w:lvl>
    <w:lvl w:ilvl="2" w:tplc="580A001B" w:tentative="1">
      <w:start w:val="1"/>
      <w:numFmt w:val="lowerRoman"/>
      <w:lvlText w:val="%3."/>
      <w:lvlJc w:val="right"/>
      <w:pPr>
        <w:ind w:left="2448" w:hanging="180"/>
      </w:pPr>
    </w:lvl>
    <w:lvl w:ilvl="3" w:tplc="580A000F" w:tentative="1">
      <w:start w:val="1"/>
      <w:numFmt w:val="decimal"/>
      <w:lvlText w:val="%4."/>
      <w:lvlJc w:val="left"/>
      <w:pPr>
        <w:ind w:left="3168" w:hanging="360"/>
      </w:pPr>
    </w:lvl>
    <w:lvl w:ilvl="4" w:tplc="580A0019" w:tentative="1">
      <w:start w:val="1"/>
      <w:numFmt w:val="lowerLetter"/>
      <w:lvlText w:val="%5."/>
      <w:lvlJc w:val="left"/>
      <w:pPr>
        <w:ind w:left="3888" w:hanging="360"/>
      </w:pPr>
    </w:lvl>
    <w:lvl w:ilvl="5" w:tplc="580A001B" w:tentative="1">
      <w:start w:val="1"/>
      <w:numFmt w:val="lowerRoman"/>
      <w:lvlText w:val="%6."/>
      <w:lvlJc w:val="right"/>
      <w:pPr>
        <w:ind w:left="4608" w:hanging="180"/>
      </w:pPr>
    </w:lvl>
    <w:lvl w:ilvl="6" w:tplc="580A000F" w:tentative="1">
      <w:start w:val="1"/>
      <w:numFmt w:val="decimal"/>
      <w:lvlText w:val="%7."/>
      <w:lvlJc w:val="left"/>
      <w:pPr>
        <w:ind w:left="5328" w:hanging="360"/>
      </w:pPr>
    </w:lvl>
    <w:lvl w:ilvl="7" w:tplc="580A0019" w:tentative="1">
      <w:start w:val="1"/>
      <w:numFmt w:val="lowerLetter"/>
      <w:lvlText w:val="%8."/>
      <w:lvlJc w:val="left"/>
      <w:pPr>
        <w:ind w:left="6048" w:hanging="360"/>
      </w:pPr>
    </w:lvl>
    <w:lvl w:ilvl="8" w:tplc="5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3" w15:restartNumberingAfterBreak="0">
    <w:nsid w:val="5B5631D8"/>
    <w:multiLevelType w:val="multilevel"/>
    <w:tmpl w:val="CDF0EA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5FFE6DA3"/>
    <w:multiLevelType w:val="hybridMultilevel"/>
    <w:tmpl w:val="6EA295CC"/>
    <w:lvl w:ilvl="0" w:tplc="04090003">
      <w:start w:val="1"/>
      <w:numFmt w:val="bullet"/>
      <w:pStyle w:val="Bullet2"/>
      <w:lvlText w:val="o"/>
      <w:lvlJc w:val="left"/>
      <w:pPr>
        <w:ind w:left="1098" w:hanging="288"/>
      </w:pPr>
      <w:rPr>
        <w:rFonts w:ascii="Courier New" w:hAnsi="Courier New" w:cs="Courier New" w:hint="default"/>
        <w:color w:val="6086B5"/>
        <w:w w:val="100"/>
        <w:sz w:val="24"/>
        <w:szCs w:val="24"/>
      </w:rPr>
    </w:lvl>
    <w:lvl w:ilvl="1" w:tplc="527CF172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  <w:color w:val="0070C0"/>
      </w:rPr>
    </w:lvl>
    <w:lvl w:ilvl="2" w:tplc="5A1EC790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  <w:color w:val="0070C0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5" w15:restartNumberingAfterBreak="0">
    <w:nsid w:val="69E5530D"/>
    <w:multiLevelType w:val="multilevel"/>
    <w:tmpl w:val="D786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A8E1445"/>
    <w:multiLevelType w:val="multilevel"/>
    <w:tmpl w:val="C49E6A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6E7D77AF"/>
    <w:multiLevelType w:val="hybridMultilevel"/>
    <w:tmpl w:val="72F48440"/>
    <w:lvl w:ilvl="0" w:tplc="94BC6818">
      <w:numFmt w:val="bullet"/>
      <w:pStyle w:val="Bullets"/>
      <w:lvlText w:val=""/>
      <w:lvlJc w:val="left"/>
      <w:pPr>
        <w:ind w:left="648" w:hanging="288"/>
      </w:pPr>
      <w:rPr>
        <w:rFonts w:ascii="Wingdings" w:eastAsia="Wingdings" w:hAnsi="Wingdings" w:cs="Wingdings" w:hint="default"/>
        <w:color w:val="6086B5"/>
        <w:w w:val="99"/>
        <w:sz w:val="28"/>
        <w:szCs w:val="28"/>
        <w:lang w:val="en-US" w:eastAsia="en-US" w:bidi="ar-SA"/>
      </w:rPr>
    </w:lvl>
    <w:lvl w:ilvl="1" w:tplc="E9F4EB2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8EAADB" w:themeColor="accent1" w:themeTint="99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21297"/>
    <w:multiLevelType w:val="hybridMultilevel"/>
    <w:tmpl w:val="D122934C"/>
    <w:lvl w:ilvl="0" w:tplc="663EBD9C">
      <w:start w:val="1"/>
      <w:numFmt w:val="decimal"/>
      <w:lvlText w:val="%1."/>
      <w:lvlJc w:val="left"/>
      <w:pPr>
        <w:ind w:left="450" w:hanging="360"/>
      </w:pPr>
      <w:rPr>
        <w:b/>
        <w:bCs/>
        <w:color w:val="8EAADB" w:themeColor="accent1" w:themeTint="99"/>
      </w:rPr>
    </w:lvl>
    <w:lvl w:ilvl="1" w:tplc="580A0019" w:tentative="1">
      <w:start w:val="1"/>
      <w:numFmt w:val="lowerLetter"/>
      <w:lvlText w:val="%2."/>
      <w:lvlJc w:val="left"/>
      <w:pPr>
        <w:ind w:left="1170" w:hanging="360"/>
      </w:pPr>
    </w:lvl>
    <w:lvl w:ilvl="2" w:tplc="580A001B" w:tentative="1">
      <w:start w:val="1"/>
      <w:numFmt w:val="lowerRoman"/>
      <w:lvlText w:val="%3."/>
      <w:lvlJc w:val="right"/>
      <w:pPr>
        <w:ind w:left="1890" w:hanging="180"/>
      </w:pPr>
    </w:lvl>
    <w:lvl w:ilvl="3" w:tplc="580A000F" w:tentative="1">
      <w:start w:val="1"/>
      <w:numFmt w:val="decimal"/>
      <w:lvlText w:val="%4."/>
      <w:lvlJc w:val="left"/>
      <w:pPr>
        <w:ind w:left="2610" w:hanging="360"/>
      </w:pPr>
    </w:lvl>
    <w:lvl w:ilvl="4" w:tplc="580A0019" w:tentative="1">
      <w:start w:val="1"/>
      <w:numFmt w:val="lowerLetter"/>
      <w:lvlText w:val="%5."/>
      <w:lvlJc w:val="left"/>
      <w:pPr>
        <w:ind w:left="3330" w:hanging="360"/>
      </w:pPr>
    </w:lvl>
    <w:lvl w:ilvl="5" w:tplc="580A001B" w:tentative="1">
      <w:start w:val="1"/>
      <w:numFmt w:val="lowerRoman"/>
      <w:lvlText w:val="%6."/>
      <w:lvlJc w:val="right"/>
      <w:pPr>
        <w:ind w:left="4050" w:hanging="180"/>
      </w:pPr>
    </w:lvl>
    <w:lvl w:ilvl="6" w:tplc="580A000F" w:tentative="1">
      <w:start w:val="1"/>
      <w:numFmt w:val="decimal"/>
      <w:lvlText w:val="%7."/>
      <w:lvlJc w:val="left"/>
      <w:pPr>
        <w:ind w:left="4770" w:hanging="360"/>
      </w:pPr>
    </w:lvl>
    <w:lvl w:ilvl="7" w:tplc="580A0019" w:tentative="1">
      <w:start w:val="1"/>
      <w:numFmt w:val="lowerLetter"/>
      <w:lvlText w:val="%8."/>
      <w:lvlJc w:val="left"/>
      <w:pPr>
        <w:ind w:left="5490" w:hanging="360"/>
      </w:pPr>
    </w:lvl>
    <w:lvl w:ilvl="8" w:tplc="5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72323D1C"/>
    <w:multiLevelType w:val="hybridMultilevel"/>
    <w:tmpl w:val="57A6D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348DA"/>
    <w:multiLevelType w:val="hybridMultilevel"/>
    <w:tmpl w:val="7D72E9A8"/>
    <w:lvl w:ilvl="0" w:tplc="99C235C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728" w:hanging="360"/>
      </w:pPr>
    </w:lvl>
    <w:lvl w:ilvl="2" w:tplc="580A001B" w:tentative="1">
      <w:start w:val="1"/>
      <w:numFmt w:val="lowerRoman"/>
      <w:lvlText w:val="%3."/>
      <w:lvlJc w:val="right"/>
      <w:pPr>
        <w:ind w:left="2448" w:hanging="180"/>
      </w:pPr>
    </w:lvl>
    <w:lvl w:ilvl="3" w:tplc="580A000F" w:tentative="1">
      <w:start w:val="1"/>
      <w:numFmt w:val="decimal"/>
      <w:lvlText w:val="%4."/>
      <w:lvlJc w:val="left"/>
      <w:pPr>
        <w:ind w:left="3168" w:hanging="360"/>
      </w:pPr>
    </w:lvl>
    <w:lvl w:ilvl="4" w:tplc="580A0019" w:tentative="1">
      <w:start w:val="1"/>
      <w:numFmt w:val="lowerLetter"/>
      <w:lvlText w:val="%5."/>
      <w:lvlJc w:val="left"/>
      <w:pPr>
        <w:ind w:left="3888" w:hanging="360"/>
      </w:pPr>
    </w:lvl>
    <w:lvl w:ilvl="5" w:tplc="580A001B" w:tentative="1">
      <w:start w:val="1"/>
      <w:numFmt w:val="lowerRoman"/>
      <w:lvlText w:val="%6."/>
      <w:lvlJc w:val="right"/>
      <w:pPr>
        <w:ind w:left="4608" w:hanging="180"/>
      </w:pPr>
    </w:lvl>
    <w:lvl w:ilvl="6" w:tplc="580A000F" w:tentative="1">
      <w:start w:val="1"/>
      <w:numFmt w:val="decimal"/>
      <w:lvlText w:val="%7."/>
      <w:lvlJc w:val="left"/>
      <w:pPr>
        <w:ind w:left="5328" w:hanging="360"/>
      </w:pPr>
    </w:lvl>
    <w:lvl w:ilvl="7" w:tplc="580A0019" w:tentative="1">
      <w:start w:val="1"/>
      <w:numFmt w:val="lowerLetter"/>
      <w:lvlText w:val="%8."/>
      <w:lvlJc w:val="left"/>
      <w:pPr>
        <w:ind w:left="6048" w:hanging="360"/>
      </w:pPr>
    </w:lvl>
    <w:lvl w:ilvl="8" w:tplc="580A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679432148">
    <w:abstractNumId w:val="7"/>
  </w:num>
  <w:num w:numId="2" w16cid:durableId="1674869739">
    <w:abstractNumId w:val="3"/>
  </w:num>
  <w:num w:numId="3" w16cid:durableId="1336958697">
    <w:abstractNumId w:val="16"/>
  </w:num>
  <w:num w:numId="4" w16cid:durableId="864447543">
    <w:abstractNumId w:val="15"/>
  </w:num>
  <w:num w:numId="5" w16cid:durableId="1278366386">
    <w:abstractNumId w:val="5"/>
  </w:num>
  <w:num w:numId="6" w16cid:durableId="1158231708">
    <w:abstractNumId w:val="18"/>
  </w:num>
  <w:num w:numId="7" w16cid:durableId="207881202">
    <w:abstractNumId w:val="17"/>
  </w:num>
  <w:num w:numId="8" w16cid:durableId="3559990">
    <w:abstractNumId w:val="9"/>
  </w:num>
  <w:num w:numId="9" w16cid:durableId="140467634">
    <w:abstractNumId w:val="11"/>
  </w:num>
  <w:num w:numId="10" w16cid:durableId="338124728">
    <w:abstractNumId w:val="10"/>
  </w:num>
  <w:num w:numId="11" w16cid:durableId="1984459324">
    <w:abstractNumId w:val="6"/>
  </w:num>
  <w:num w:numId="12" w16cid:durableId="1747143456">
    <w:abstractNumId w:val="24"/>
  </w:num>
  <w:num w:numId="13" w16cid:durableId="104078737">
    <w:abstractNumId w:val="29"/>
  </w:num>
  <w:num w:numId="14" w16cid:durableId="1307737359">
    <w:abstractNumId w:val="28"/>
  </w:num>
  <w:num w:numId="15" w16cid:durableId="757793296">
    <w:abstractNumId w:val="19"/>
  </w:num>
  <w:num w:numId="16" w16cid:durableId="1437015875">
    <w:abstractNumId w:val="27"/>
  </w:num>
  <w:num w:numId="17" w16cid:durableId="2097632436">
    <w:abstractNumId w:val="22"/>
  </w:num>
  <w:num w:numId="18" w16cid:durableId="634533042">
    <w:abstractNumId w:val="30"/>
  </w:num>
  <w:num w:numId="19" w16cid:durableId="1639413275">
    <w:abstractNumId w:val="2"/>
  </w:num>
  <w:num w:numId="20" w16cid:durableId="897670825">
    <w:abstractNumId w:val="25"/>
  </w:num>
  <w:num w:numId="21" w16cid:durableId="262760731">
    <w:abstractNumId w:val="13"/>
  </w:num>
  <w:num w:numId="22" w16cid:durableId="2002342387">
    <w:abstractNumId w:val="8"/>
  </w:num>
  <w:num w:numId="23" w16cid:durableId="519661235">
    <w:abstractNumId w:val="23"/>
  </w:num>
  <w:num w:numId="24" w16cid:durableId="838350128">
    <w:abstractNumId w:val="14"/>
  </w:num>
  <w:num w:numId="25" w16cid:durableId="1219514693">
    <w:abstractNumId w:val="26"/>
  </w:num>
  <w:num w:numId="26" w16cid:durableId="501429489">
    <w:abstractNumId w:val="0"/>
  </w:num>
  <w:num w:numId="27" w16cid:durableId="1198740569">
    <w:abstractNumId w:val="21"/>
  </w:num>
  <w:num w:numId="28" w16cid:durableId="1042054704">
    <w:abstractNumId w:val="4"/>
  </w:num>
  <w:num w:numId="29" w16cid:durableId="233205773">
    <w:abstractNumId w:val="12"/>
  </w:num>
  <w:num w:numId="30" w16cid:durableId="1716272316">
    <w:abstractNumId w:val="20"/>
  </w:num>
  <w:num w:numId="31" w16cid:durableId="1110204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D3"/>
    <w:rsid w:val="00001EDD"/>
    <w:rsid w:val="000206D5"/>
    <w:rsid w:val="00051FDF"/>
    <w:rsid w:val="00085B03"/>
    <w:rsid w:val="00090C14"/>
    <w:rsid w:val="000B466A"/>
    <w:rsid w:val="000B7FCE"/>
    <w:rsid w:val="00107588"/>
    <w:rsid w:val="00121305"/>
    <w:rsid w:val="001400DA"/>
    <w:rsid w:val="00145849"/>
    <w:rsid w:val="001475B2"/>
    <w:rsid w:val="001670B3"/>
    <w:rsid w:val="00187D24"/>
    <w:rsid w:val="001A3381"/>
    <w:rsid w:val="001F27E9"/>
    <w:rsid w:val="0021117C"/>
    <w:rsid w:val="0024107A"/>
    <w:rsid w:val="00244E15"/>
    <w:rsid w:val="00265938"/>
    <w:rsid w:val="00281CF3"/>
    <w:rsid w:val="0028450C"/>
    <w:rsid w:val="00285B55"/>
    <w:rsid w:val="00297A53"/>
    <w:rsid w:val="002E3FD3"/>
    <w:rsid w:val="002F41FC"/>
    <w:rsid w:val="00307A3A"/>
    <w:rsid w:val="003409CF"/>
    <w:rsid w:val="00346C6B"/>
    <w:rsid w:val="0036013C"/>
    <w:rsid w:val="003B5801"/>
    <w:rsid w:val="003C7A20"/>
    <w:rsid w:val="003E4BC4"/>
    <w:rsid w:val="003F3539"/>
    <w:rsid w:val="003F4E28"/>
    <w:rsid w:val="003F6BAF"/>
    <w:rsid w:val="00440D46"/>
    <w:rsid w:val="00443DCF"/>
    <w:rsid w:val="0044700A"/>
    <w:rsid w:val="00450C3B"/>
    <w:rsid w:val="0049290D"/>
    <w:rsid w:val="004960B6"/>
    <w:rsid w:val="004B1C61"/>
    <w:rsid w:val="004B5650"/>
    <w:rsid w:val="004E23F7"/>
    <w:rsid w:val="004E4B41"/>
    <w:rsid w:val="004E7C6E"/>
    <w:rsid w:val="004F4630"/>
    <w:rsid w:val="00503FA2"/>
    <w:rsid w:val="0051774B"/>
    <w:rsid w:val="005A5B79"/>
    <w:rsid w:val="005B1598"/>
    <w:rsid w:val="005F5028"/>
    <w:rsid w:val="005F7D13"/>
    <w:rsid w:val="006070DA"/>
    <w:rsid w:val="0068001E"/>
    <w:rsid w:val="006836D3"/>
    <w:rsid w:val="006A6267"/>
    <w:rsid w:val="006B292E"/>
    <w:rsid w:val="006C0889"/>
    <w:rsid w:val="006E4B7F"/>
    <w:rsid w:val="00750B82"/>
    <w:rsid w:val="007A6473"/>
    <w:rsid w:val="007E140D"/>
    <w:rsid w:val="007E41B8"/>
    <w:rsid w:val="007E6AE2"/>
    <w:rsid w:val="008211FF"/>
    <w:rsid w:val="00833C23"/>
    <w:rsid w:val="0084082F"/>
    <w:rsid w:val="008907C6"/>
    <w:rsid w:val="00892A0D"/>
    <w:rsid w:val="008C6B9B"/>
    <w:rsid w:val="00905CB6"/>
    <w:rsid w:val="00920A98"/>
    <w:rsid w:val="0094209B"/>
    <w:rsid w:val="00952F6D"/>
    <w:rsid w:val="009A5CDF"/>
    <w:rsid w:val="009A7641"/>
    <w:rsid w:val="009E5024"/>
    <w:rsid w:val="009F738F"/>
    <w:rsid w:val="00A02E9D"/>
    <w:rsid w:val="00A03A91"/>
    <w:rsid w:val="00A20B67"/>
    <w:rsid w:val="00A304B5"/>
    <w:rsid w:val="00A41B88"/>
    <w:rsid w:val="00A52F2D"/>
    <w:rsid w:val="00A5352D"/>
    <w:rsid w:val="00AC78B1"/>
    <w:rsid w:val="00AD75D2"/>
    <w:rsid w:val="00AE284F"/>
    <w:rsid w:val="00AF0F1C"/>
    <w:rsid w:val="00B2155F"/>
    <w:rsid w:val="00B337C5"/>
    <w:rsid w:val="00B43EC6"/>
    <w:rsid w:val="00B744D7"/>
    <w:rsid w:val="00B82173"/>
    <w:rsid w:val="00BD659E"/>
    <w:rsid w:val="00C15733"/>
    <w:rsid w:val="00C339C4"/>
    <w:rsid w:val="00C42F41"/>
    <w:rsid w:val="00C43D6A"/>
    <w:rsid w:val="00CA7F58"/>
    <w:rsid w:val="00CB3349"/>
    <w:rsid w:val="00CB404E"/>
    <w:rsid w:val="00CE13E2"/>
    <w:rsid w:val="00D106C1"/>
    <w:rsid w:val="00D216D6"/>
    <w:rsid w:val="00D3583F"/>
    <w:rsid w:val="00D52C41"/>
    <w:rsid w:val="00DB27C4"/>
    <w:rsid w:val="00DC104A"/>
    <w:rsid w:val="00DC47E5"/>
    <w:rsid w:val="00E05328"/>
    <w:rsid w:val="00E075EF"/>
    <w:rsid w:val="00E160BB"/>
    <w:rsid w:val="00E65A17"/>
    <w:rsid w:val="00EB6ACA"/>
    <w:rsid w:val="00EC627A"/>
    <w:rsid w:val="00EE2849"/>
    <w:rsid w:val="00EE5F66"/>
    <w:rsid w:val="00F31FB5"/>
    <w:rsid w:val="00F47FD7"/>
    <w:rsid w:val="00F508DB"/>
    <w:rsid w:val="00FB281C"/>
    <w:rsid w:val="00FB2E74"/>
    <w:rsid w:val="00FB4076"/>
    <w:rsid w:val="00FF3A8E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C6396"/>
  <w15:chartTrackingRefBased/>
  <w15:docId w15:val="{558546D7-C018-AD4A-8527-928B5258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FD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6C6B"/>
    <w:pPr>
      <w:keepNext/>
      <w:keepLines/>
      <w:framePr w:wrap="around" w:vAnchor="text" w:hAnchor="text" w:y="1"/>
      <w:pBdr>
        <w:top w:val="single" w:sz="18" w:space="1" w:color="000000" w:themeColor="text1"/>
        <w:left w:val="single" w:sz="18" w:space="4" w:color="000000" w:themeColor="text1"/>
        <w:bottom w:val="single" w:sz="18" w:space="1" w:color="000000" w:themeColor="text1"/>
        <w:right w:val="single" w:sz="18" w:space="4" w:color="000000" w:themeColor="text1"/>
      </w:pBdr>
      <w:shd w:val="solid" w:color="auto" w:fill="auto"/>
      <w:spacing w:before="360" w:after="240" w:line="360" w:lineRule="exact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pacing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C6B"/>
    <w:rPr>
      <w:rFonts w:asciiTheme="majorHAnsi" w:eastAsiaTheme="majorEastAsia" w:hAnsiTheme="majorHAnsi" w:cstheme="majorBidi"/>
      <w:b/>
      <w:bCs/>
      <w:caps/>
      <w:color w:val="FFFFFF" w:themeColor="background1"/>
      <w:spacing w:val="32"/>
      <w:sz w:val="32"/>
      <w:szCs w:val="32"/>
      <w:shd w:val="solid" w:color="auto" w:fill="auto"/>
    </w:rPr>
  </w:style>
  <w:style w:type="character" w:customStyle="1" w:styleId="H3">
    <w:name w:val="H3"/>
    <w:basedOn w:val="DefaultParagraphFont"/>
    <w:uiPriority w:val="1"/>
    <w:qFormat/>
    <w:rsid w:val="00892A0D"/>
    <w:rPr>
      <w:rFonts w:ascii="Calibri" w:hAnsi="Calibri"/>
      <w:b/>
      <w:i w:val="0"/>
      <w:color w:val="FF9933"/>
    </w:rPr>
  </w:style>
  <w:style w:type="paragraph" w:customStyle="1" w:styleId="GEBullets">
    <w:name w:val="GE_Bullets"/>
    <w:basedOn w:val="NormalWeb"/>
    <w:autoRedefine/>
    <w:qFormat/>
    <w:rsid w:val="00892A0D"/>
    <w:pPr>
      <w:numPr>
        <w:numId w:val="1"/>
      </w:numPr>
      <w:shd w:val="clear" w:color="auto" w:fill="FFFFFF"/>
      <w:spacing w:before="100" w:beforeAutospacing="1" w:after="225" w:afterAutospacing="1"/>
    </w:pPr>
    <w:rPr>
      <w:rFonts w:ascii="Calibri" w:eastAsia="Times New Roman" w:hAnsi="Calibri" w:cs="Open Sans"/>
      <w:b/>
      <w:bCs/>
      <w:color w:val="00000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92A0D"/>
    <w:rPr>
      <w:rFonts w:ascii="Times New Roman" w:hAnsi="Times New Roman" w:cs="Times New Roman"/>
    </w:rPr>
  </w:style>
  <w:style w:type="paragraph" w:customStyle="1" w:styleId="BoldOrange">
    <w:name w:val="BoldOrange"/>
    <w:basedOn w:val="Normal"/>
    <w:autoRedefine/>
    <w:qFormat/>
    <w:rsid w:val="000206D5"/>
    <w:pPr>
      <w:spacing w:after="160" w:line="259" w:lineRule="auto"/>
    </w:pPr>
    <w:rPr>
      <w:color w:val="CA5334"/>
    </w:rPr>
  </w:style>
  <w:style w:type="paragraph" w:customStyle="1" w:styleId="Contact">
    <w:name w:val="Contact"/>
    <w:basedOn w:val="Normal"/>
    <w:autoRedefine/>
    <w:qFormat/>
    <w:rsid w:val="00F47FD7"/>
    <w:pPr>
      <w:spacing w:before="240" w:after="120" w:line="259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FD3"/>
  </w:style>
  <w:style w:type="paragraph" w:styleId="Footer">
    <w:name w:val="footer"/>
    <w:basedOn w:val="Normal"/>
    <w:link w:val="FooterChar"/>
    <w:uiPriority w:val="99"/>
    <w:unhideWhenUsed/>
    <w:rsid w:val="002E3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FD3"/>
  </w:style>
  <w:style w:type="paragraph" w:styleId="BodyText">
    <w:name w:val="Body Text"/>
    <w:basedOn w:val="Normal"/>
    <w:link w:val="BodyTextChar"/>
    <w:uiPriority w:val="1"/>
    <w:qFormat/>
    <w:rsid w:val="002E3FD3"/>
    <w:pPr>
      <w:ind w:left="1211" w:hanging="36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E3FD3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2E3FD3"/>
    <w:pPr>
      <w:spacing w:line="293" w:lineRule="exact"/>
      <w:ind w:left="1211" w:hanging="361"/>
    </w:pPr>
  </w:style>
  <w:style w:type="character" w:styleId="PageNumber">
    <w:name w:val="page number"/>
    <w:basedOn w:val="DefaultParagraphFont"/>
    <w:uiPriority w:val="99"/>
    <w:semiHidden/>
    <w:unhideWhenUsed/>
    <w:rsid w:val="0094209B"/>
  </w:style>
  <w:style w:type="paragraph" w:customStyle="1" w:styleId="H1">
    <w:name w:val="H1"/>
    <w:basedOn w:val="BodyText"/>
    <w:autoRedefine/>
    <w:qFormat/>
    <w:rsid w:val="00CB404E"/>
    <w:pPr>
      <w:spacing w:before="100"/>
      <w:ind w:left="0" w:right="1019" w:firstLine="0"/>
    </w:pPr>
    <w:rPr>
      <w:b/>
      <w:bCs/>
      <w:color w:val="E92533"/>
      <w:spacing w:val="38"/>
      <w:sz w:val="56"/>
      <w:szCs w:val="56"/>
    </w:rPr>
  </w:style>
  <w:style w:type="paragraph" w:customStyle="1" w:styleId="Body">
    <w:name w:val="Body"/>
    <w:basedOn w:val="BodyText"/>
    <w:autoRedefine/>
    <w:qFormat/>
    <w:rsid w:val="00B43EC6"/>
    <w:pPr>
      <w:spacing w:before="100"/>
      <w:ind w:left="0" w:firstLine="0"/>
      <w:jc w:val="both"/>
    </w:pPr>
    <w:rPr>
      <w:rFonts w:ascii="Calibri Light" w:hAnsi="Calibri Light" w:cs="Calibri Light"/>
      <w:color w:val="000000"/>
      <w:spacing w:val="10"/>
      <w:shd w:val="clear" w:color="auto" w:fill="FFFFFF"/>
    </w:rPr>
  </w:style>
  <w:style w:type="paragraph" w:customStyle="1" w:styleId="H2">
    <w:name w:val="H2"/>
    <w:autoRedefine/>
    <w:qFormat/>
    <w:rsid w:val="003F6BAF"/>
    <w:pPr>
      <w:spacing w:before="480" w:after="120" w:line="20" w:lineRule="exact"/>
    </w:pPr>
    <w:rPr>
      <w:rFonts w:ascii="Calibri" w:eastAsia="Calibri" w:hAnsi="Calibri" w:cs="Calibri"/>
      <w:b/>
      <w:color w:val="1B4383"/>
      <w:spacing w:val="32"/>
    </w:rPr>
  </w:style>
  <w:style w:type="paragraph" w:customStyle="1" w:styleId="H3BTE">
    <w:name w:val="H3_BTE"/>
    <w:basedOn w:val="Normal"/>
    <w:autoRedefine/>
    <w:qFormat/>
    <w:rsid w:val="00D106C1"/>
    <w:pPr>
      <w:tabs>
        <w:tab w:val="right" w:leader="underscore" w:pos="492"/>
      </w:tabs>
      <w:spacing w:before="100" w:beforeAutospacing="1"/>
    </w:pPr>
    <w:rPr>
      <w:b/>
      <w:color w:val="000000" w:themeColor="text1"/>
      <w:sz w:val="24"/>
    </w:rPr>
  </w:style>
  <w:style w:type="paragraph" w:customStyle="1" w:styleId="CheckBullet">
    <w:name w:val="Check Bullet"/>
    <w:basedOn w:val="ListParagraph"/>
    <w:autoRedefine/>
    <w:qFormat/>
    <w:rsid w:val="00FF48AD"/>
    <w:pPr>
      <w:tabs>
        <w:tab w:val="left" w:pos="819"/>
      </w:tabs>
      <w:spacing w:after="120" w:line="340" w:lineRule="exact"/>
      <w:ind w:left="432" w:hanging="432"/>
    </w:pPr>
    <w:rPr>
      <w:rFonts w:ascii="Calibri Light" w:hAnsi="Calibri Light" w:cs="Calibri Light"/>
      <w:b/>
      <w:color w:val="0070C0"/>
      <w:sz w:val="24"/>
      <w:shd w:val="clear" w:color="auto" w:fill="FFFFFF"/>
    </w:rPr>
  </w:style>
  <w:style w:type="paragraph" w:customStyle="1" w:styleId="Bullets">
    <w:name w:val="Bullets"/>
    <w:basedOn w:val="ListParagraph"/>
    <w:autoRedefine/>
    <w:qFormat/>
    <w:rsid w:val="006836D3"/>
    <w:pPr>
      <w:numPr>
        <w:numId w:val="16"/>
      </w:numPr>
      <w:tabs>
        <w:tab w:val="left" w:pos="1212"/>
      </w:tabs>
      <w:spacing w:line="295" w:lineRule="exact"/>
    </w:pPr>
    <w:rPr>
      <w:rFonts w:ascii="Calibri Light" w:hAnsi="Calibri Light"/>
      <w:color w:val="000000" w:themeColor="text1"/>
      <w:sz w:val="24"/>
    </w:rPr>
  </w:style>
  <w:style w:type="numbering" w:customStyle="1" w:styleId="CurrentList1">
    <w:name w:val="Current List1"/>
    <w:uiPriority w:val="99"/>
    <w:rsid w:val="006070DA"/>
    <w:pPr>
      <w:numPr>
        <w:numId w:val="3"/>
      </w:numPr>
    </w:pPr>
  </w:style>
  <w:style w:type="paragraph" w:customStyle="1" w:styleId="NoteEmphasis">
    <w:name w:val="NoteEmphasis"/>
    <w:basedOn w:val="Normal"/>
    <w:autoRedefine/>
    <w:qFormat/>
    <w:rsid w:val="00107588"/>
    <w:pPr>
      <w:pBdr>
        <w:top w:val="single" w:sz="4" w:space="1" w:color="DDE5F2"/>
        <w:left w:val="single" w:sz="4" w:space="4" w:color="DDE5F2"/>
        <w:bottom w:val="single" w:sz="4" w:space="1" w:color="DDE5F2"/>
        <w:right w:val="single" w:sz="4" w:space="4" w:color="DDE5F2"/>
      </w:pBdr>
      <w:shd w:val="clear" w:color="auto" w:fill="DDE5F2"/>
      <w:spacing w:before="240" w:after="240"/>
      <w:ind w:left="274" w:right="691" w:hanging="274"/>
    </w:pPr>
    <w:rPr>
      <w:i/>
      <w:color w:val="1B4383"/>
      <w:sz w:val="24"/>
    </w:rPr>
  </w:style>
  <w:style w:type="numbering" w:customStyle="1" w:styleId="CurrentList2">
    <w:name w:val="Current List2"/>
    <w:uiPriority w:val="99"/>
    <w:rsid w:val="006070DA"/>
    <w:pPr>
      <w:numPr>
        <w:numId w:val="5"/>
      </w:numPr>
    </w:pPr>
  </w:style>
  <w:style w:type="numbering" w:customStyle="1" w:styleId="CurrentList3">
    <w:name w:val="Current List3"/>
    <w:uiPriority w:val="99"/>
    <w:rsid w:val="006070DA"/>
    <w:pPr>
      <w:numPr>
        <w:numId w:val="7"/>
      </w:numPr>
    </w:pPr>
  </w:style>
  <w:style w:type="numbering" w:customStyle="1" w:styleId="CurrentList4">
    <w:name w:val="Current List4"/>
    <w:uiPriority w:val="99"/>
    <w:rsid w:val="006070DA"/>
    <w:pPr>
      <w:numPr>
        <w:numId w:val="8"/>
      </w:numPr>
    </w:pPr>
  </w:style>
  <w:style w:type="numbering" w:customStyle="1" w:styleId="CurrentList5">
    <w:name w:val="Current List5"/>
    <w:uiPriority w:val="99"/>
    <w:rsid w:val="006070DA"/>
    <w:pPr>
      <w:numPr>
        <w:numId w:val="9"/>
      </w:numPr>
    </w:pPr>
  </w:style>
  <w:style w:type="numbering" w:customStyle="1" w:styleId="CurrentList6">
    <w:name w:val="Current List6"/>
    <w:uiPriority w:val="99"/>
    <w:rsid w:val="006070DA"/>
    <w:pPr>
      <w:numPr>
        <w:numId w:val="10"/>
      </w:numPr>
    </w:pPr>
  </w:style>
  <w:style w:type="paragraph" w:customStyle="1" w:styleId="Bullet2">
    <w:name w:val="Bullet2"/>
    <w:basedOn w:val="ListParagraph"/>
    <w:autoRedefine/>
    <w:qFormat/>
    <w:rsid w:val="002F41FC"/>
    <w:pPr>
      <w:numPr>
        <w:numId w:val="12"/>
      </w:numPr>
      <w:tabs>
        <w:tab w:val="left" w:pos="1571"/>
        <w:tab w:val="left" w:pos="1572"/>
      </w:tabs>
      <w:spacing w:line="240" w:lineRule="auto"/>
    </w:pPr>
    <w:rPr>
      <w:rFonts w:ascii="Calibri Light" w:hAnsi="Calibri Light"/>
      <w:sz w:val="24"/>
    </w:rPr>
  </w:style>
  <w:style w:type="paragraph" w:customStyle="1" w:styleId="H32BTE">
    <w:name w:val="H3.2BTE"/>
    <w:basedOn w:val="H3BTE"/>
    <w:autoRedefine/>
    <w:qFormat/>
    <w:rsid w:val="00D106C1"/>
    <w:pPr>
      <w:tabs>
        <w:tab w:val="clear" w:pos="492"/>
        <w:tab w:val="left" w:leader="underscore" w:pos="8640"/>
      </w:tabs>
      <w:spacing w:after="240"/>
    </w:pPr>
    <w:rPr>
      <w:bCs/>
    </w:rPr>
  </w:style>
  <w:style w:type="numbering" w:customStyle="1" w:styleId="CurrentList7">
    <w:name w:val="Current List7"/>
    <w:uiPriority w:val="99"/>
    <w:rsid w:val="00A41B88"/>
    <w:pPr>
      <w:numPr>
        <w:numId w:val="11"/>
      </w:numPr>
    </w:pPr>
  </w:style>
  <w:style w:type="character" w:customStyle="1" w:styleId="normaltextrun">
    <w:name w:val="normaltextrun"/>
    <w:basedOn w:val="DefaultParagraphFont"/>
    <w:rsid w:val="00E075EF"/>
  </w:style>
  <w:style w:type="character" w:customStyle="1" w:styleId="eop">
    <w:name w:val="eop"/>
    <w:basedOn w:val="DefaultParagraphFont"/>
    <w:rsid w:val="00E075EF"/>
  </w:style>
  <w:style w:type="paragraph" w:customStyle="1" w:styleId="paragraph">
    <w:name w:val="paragraph"/>
    <w:basedOn w:val="Normal"/>
    <w:rsid w:val="00CE13E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5B79D50F8148A4DB6D9108BD6B56" ma:contentTypeVersion="22" ma:contentTypeDescription="Create a new document." ma:contentTypeScope="" ma:versionID="69e6811f4bae51b2b9b665518dd7adaf">
  <xsd:schema xmlns:xsd="http://www.w3.org/2001/XMLSchema" xmlns:xs="http://www.w3.org/2001/XMLSchema" xmlns:p="http://schemas.microsoft.com/office/2006/metadata/properties" xmlns:ns2="db233ec2-66d3-4ef5-8807-a2c006e69374" xmlns:ns3="22f06dfc-89d6-4ef5-9df8-ef4dcff005cd" targetNamespace="http://schemas.microsoft.com/office/2006/metadata/properties" ma:root="true" ma:fieldsID="b50f13bfcad779cbefcd3d278a286344" ns2:_="" ns3:_="">
    <xsd:import namespace="db233ec2-66d3-4ef5-8807-a2c006e69374"/>
    <xsd:import namespace="22f06dfc-89d6-4ef5-9df8-ef4dcff00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44dae29-85ca-4d34-a989-72f99e160290}" ma:internalName="TaxCatchAll" ma:showField="CatchAllData" ma:web="db233ec2-66d3-4ef5-8807-a2c006e69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6dfc-89d6-4ef5-9df8-ef4dcff00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f06dfc-89d6-4ef5-9df8-ef4dcff005cd">
      <Terms xmlns="http://schemas.microsoft.com/office/infopath/2007/PartnerControls"/>
    </lcf76f155ced4ddcb4097134ff3c332f>
    <TaxCatchAll xmlns="db233ec2-66d3-4ef5-8807-a2c006e69374" xsi:nil="true"/>
  </documentManagement>
</p:properties>
</file>

<file path=customXml/itemProps1.xml><?xml version="1.0" encoding="utf-8"?>
<ds:datastoreItem xmlns:ds="http://schemas.openxmlformats.org/officeDocument/2006/customXml" ds:itemID="{A0307DFA-0135-435C-8E46-AEC7AC662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6CF453-C3EF-4A15-8666-27441001D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22f06dfc-89d6-4ef5-9df8-ef4dcff00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1E29B-A660-4F56-8619-01D6684F2E16}">
  <ds:schemaRefs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22f06dfc-89d6-4ef5-9df8-ef4dcff005cd"/>
    <ds:schemaRef ds:uri="http://schemas.microsoft.com/office/2006/documentManagement/types"/>
    <ds:schemaRef ds:uri="http://schemas.openxmlformats.org/package/2006/metadata/core-properties"/>
    <ds:schemaRef ds:uri="db233ec2-66d3-4ef5-8807-a2c006e693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1606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Warminsky</dc:creator>
  <cp:keywords/>
  <dc:description/>
  <cp:lastModifiedBy>Diana Albright</cp:lastModifiedBy>
  <cp:revision>2</cp:revision>
  <dcterms:created xsi:type="dcterms:W3CDTF">2023-02-16T21:00:00Z</dcterms:created>
  <dcterms:modified xsi:type="dcterms:W3CDTF">2023-02-16T21:00:00Z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0x01010006B55B79D50F8148A4DB6D9108BD6B56</vt:lpwstr>
  </property>
  <property fmtid="{D5CDD505-2E9C-101B-9397-08002B2CF9AE}" pid="3" name="MediaServiceImageTags">
    <vt:lpwstr/>
  </property>
</Properties>
</file>